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HESM</w:t>
      </w:r>
      <w:r>
        <w:rPr>
          <w:rFonts w:ascii="Calibri" w:hAnsi="Calibri"/>
          <w:b/>
          <w:color w:val="1A2010"/>
          <w:sz w:val="40"/>
        </w:rPr>
        <w:t xml:space="preserve">  Hess Midstream LP</w:t>
      </w:r>
    </w:p>
    <w:p>
      <w:pPr>
        <w:spacing w:after="120"/>
      </w:pPr>
      <w:r>
        <w:rPr>
          <w:rFonts w:ascii="Calibri" w:hAnsi="Calibri"/>
          <w:b/>
          <w:color w:val="6E8450"/>
          <w:sz w:val="18"/>
        </w:rPr>
        <w:t>DIVIDEND SLEEVE · 2026-04-27 · Inspire: 17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Hess Midstream LP owns, operates, and develops midstream assets in the Bakken and Three Forks shale plays in the Williston Basin area of North Dakota. The company operates through three segments: Gathering, Processing and Storage, and Terminaling and Export, providing fee-based natural gas gathering, compression, processing, fractionation, storage, crude oil gathering, terminaling, loading, and produced water services. Chevron beneficially owns approximately 37.8% following its merger with Hess Corporation.</w:t>
      </w:r>
    </w:p>
    <w:p>
      <w:r>
        <w:rPr>
          <w:rFonts w:ascii="Calibri" w:hAnsi="Calibri"/>
          <w:b/>
          <w:color w:val="6E8450"/>
          <w:sz w:val="18"/>
        </w:rPr>
        <w:t>https://www.hessmidstream.com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Hess Midstream has grown revenue from approximately $1.1B in 2020 to $1.6B in 2025 through organic capacity expansion in the Bakken, but this represents infrastructure buildout rather than product innovation [1]. Q4 2025 adjusted EBITDA of $309.1M with 83% gross adjusted EBITDA margin demonstrates operational excellence within the existing model. AI Deployment (0/2): No evidence of AI-powered products or quantified AI-driven efficiency gains; midstream operations remain traditional pipeline and processing infrastructure [3]. Market Share (1/2): Hess Midstream is the dominant midstream operator in the Bakken formation through its integrated gathering, processing, and terminaling network spanning 1,430 miles of gas pipelines, 615 miles of oil pipelines, and 360 miles of water pipelines [1]. Pipeline (1/2): Capital spending declining to ~$150M in 2026 and further to less than $75M/yr by 2027-2028 signals infrastructure maturation; 2026 guidance of $1.225-1.275B adjusted EBITDA is approximately flat, reflecting a harvest phase [1]. R&amp;D Intensity (1/1): The $3.6B invested in infrastructure to reduce flaring (cutting operated flaring from 68 to 20 MMSCFD and eliminating 1.6M tonnes annual CO2e between 2019-2023) demonstrates meaningful capital deployment toward environmental improvement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While Hess Midstream's core purpose — safely operating midstream infrastructure — is operationally focused, the commitment to zero routine flaring by end 2025 and Hess Corporation's net zero Scope 1 and 2 by 2050 goal elevates the mission beyond pure asset operation [5]. Community Impact (1/2): Published comprehensive sustainability reports aligned with SASB, TCFD, and GRI standards; the $3.6B flaring reduction investment eliminated 1.6M tonnes of annual CO2e emissions, delivering measurable environmental benefit [5]. Employee Retention (1/2): CEO Jonathan Stein was promoted internally from CFO (serving since September 2019), suggesting organizational stability and succession planning; the management team averages 10.7 years tenure [3]. The post-Chevron merger transition was orderly with Andy Walz (Chevron) as new Chairman. Insider Buying (1/2): As an MLP with Chevron as controlling unitholder (~37.8%), traditional insider buying signals are limited, but the targeted 5% annual distribution growth through 2028 demonstrates sponsor commitment to the entity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Hess Midstream's financial profile is strong on profitability and valuation but structurally leveraged per MLP convention. Forward P/E of 12.2x is attractive for a fee-based midstream company generating 83% gross adjusted EBITDA margins [1][6]. Profit margin of 21.8%, gross margin of 77.1%, and operating margin of 62.2% are excellent [6]. EPS of $2.86 with 9.2% YoY growth and forward EPS of $3.07 show stable earnings progression. D/E of 861.4% reflects the MLP capital structure with $3.77B debt (typical for midstream partnerships), scoring 0 on this metric. Revenue growth of 2.1% in the latest quarter is modest. Payout ratio of 101.5% exceeds GAAP net income (common in MLPs where distributable cash flow exceeds net income due to depreciation), but raises sustainability concern. Dividend yield of 7.9% with 9 consecutive years paid, 7 years of growth, and 10.8% 5-year distribution growth CAGR is strong. Liquidity easily cleared: 1.62M avg volume × $37.34 = $60.5M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Hess Midstream operates with moderate infinite game characteristics. The fee-based infrastructure model, targeted 5% annual distribution growth through 2028, and the $3.6B flaring reduction investment demonstrate long-term planning and environmental responsibility. However, the MLP structure inherently prioritizes unitholder distributions over strategic reinvention, and single-basin concentration limits the company's ability to adapt to fundamental energy transition shifts.</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Hess Midstream's commitment to zero routine flaring by end 2025 and Hess's net zero by 2050 goal provide forward-looking environmental purpose beyond mere asset operation [5]. The $3.6B invested in flaring reduction infrastructure — eliminating 1.6M tonnes of annual CO2e — demonstrates willingness to allocate capital toward environmental outcomes. However, the company's primary purpose remains generating cash distributions for unitholders, which is inherently finite.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Jonathan Stein's internal promotion from CFO (serving since 2019) and the management team's 10.7-year average tenure suggest institutional trust and knowledge continuity [3]. The post-Chevron merger leadership transition was orderly with minimal operational disruption. However, the governance changes — Chevron appointees to the Board and Andy Walz as Chairman — may introduce cultural shifts as Hess Midstream transitions from Hess family influence to Chevron corporate oversight.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Hess Midstream's dominant position in the Bakken limits direct competition, reducing the relevance of the worthy rivals concept. The company's sustainability benchmarking against Energy Infrastructure Council standards and adoption of SASB/TCFD/GRI frameworks shows awareness of industry best practices [5]. The Chevron partnership provides access to a larger organization's operational learnings.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declining capex roadmap ($150M in 2026, less than $75M by 2027-2028) represents a planned transition from growth infrastructure to harvest mode, which is a deliberate strategic shift [1]. The Chevron merger opens potential access to broader midstream opportunities beyond the Bakken. However, the MLP structure and single-basin concentration inherently constrain transformative pivots; the company has not diversified geographically since its 2017 IPO.</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invest $3.6B in flaring reduction infrastructure — cutting operated flaring from 68 to 20 MMSCFD and targeting zero routine flaring — demonstrates leadership on environmental performance within the energy sector [5]. The disciplined capital allocation of reducing capex 40% while maintaining 5% distribution growth and targeting 10% adjusted FCF growth through 2028 shows conviction in the harvest strategy [1]. CEO Stein's orderly transition during the Chevron merger maintained operational stability.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Hess Midstream is a high-yield midstream income vehicle offering 7.9% distribution yield with targeted 5% annual growth through 2028, backed by fee-based contracts with minimum volume commitments from Chevron (the new controlling unitholder at ~37.8%) [1][6]. Q4 2025 adjusted EBITDA of $309.1M at 83% gross margins and 2026 guidance of $1.225-1.275B adjusted EBITDA provide earnings visibility in a declining-capex environment (~$150M in 2026, less than $75M by 2027-2028) [1]. At 12.2x forward P/E, the valuation is attractive for an infrastructure asset converting nearly all EBITDA to distributable cash flow as capital needs diminish. The 10.8% 5-year distribution growth CAGR and 10% adjusted FCF growth target through 2028 demonstrate a compelling income trajectory. AI resilience is near-maximum — physical pipeline infrastructure is structurally immune to AI disruption and benefits indirectly from AI-driven electricity and natural gas demand growth [1].</w:t>
      </w:r>
    </w:p>
    <w:p>
      <w:pPr>
        <w:spacing w:after="120"/>
      </w:pPr>
      <w:r>
        <w:rPr>
          <w:rFonts w:ascii="Calibri" w:hAnsi="Calibri"/>
          <w:b w:val="0"/>
          <w:color w:val="3A4A28"/>
          <w:sz w:val="20"/>
        </w:rPr>
        <w:t>The bear case centers on structural leverage, single-basin concentration, and sponsor dependence. D/E of 861.4% reflects the MLP capital structure that amplifies both returns and risk — a prolonged Bakken production decline would pressure volumes and distributions simultaneously [6]. Payout ratio of 101.5% exceeds GAAP net income (common for MLPs but still noteworthy), and 2026 net income guidance of $650-700M implies a potential decline from 2025's $684.6M [1]. Revenue growth of just 2.1% in the latest quarter signals volume growth is decelerating as the Bakken matures. Geographic concentration in the Williston Basin exposes the company to North Dakota regulatory risk, production declines, and single-event operational disruption across all three segments. The Chevron merger creates sponsor uncertainty — capital allocation priorities may diverge from Hess Corporation's historical commitment to Bakken midstream growth. The Inspire Impact Score of 17 (MIXED) with only 3 positive attributions reflects limited ESG differentiation for a fossil fuel infrastructure company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Capital spending declining to ~$150M in 2026 and less than $75M/yr by 2027-2028, converting nearly all adjusted EBITDA to distributable free cash flow and supporting 10% adjusted FCF growth [1]</w:t>
      </w:r>
    </w:p>
    <w:p>
      <w:pPr>
        <w:spacing w:before="40" w:after="40"/>
        <w:ind w:left="283"/>
      </w:pPr>
      <w:r>
        <w:rPr>
          <w:rFonts w:ascii="Calibri" w:hAnsi="Calibri"/>
          <w:b/>
          <w:color w:val="4A6B25"/>
          <w:sz w:val="20"/>
        </w:rPr>
        <w:t xml:space="preserve">2. </w:t>
      </w:r>
      <w:r>
        <w:rPr>
          <w:rFonts w:ascii="Calibri" w:hAnsi="Calibri"/>
          <w:b w:val="0"/>
          <w:color w:val="3A4A28"/>
          <w:sz w:val="20"/>
        </w:rPr>
        <w:t>Targeted 5% annual distribution growth per Class A share through 2028 — Q4 2025 distribution of $0.7641/share annualizes to approximately $3.06 on a $37.34 stock [1]</w:t>
      </w:r>
    </w:p>
    <w:p>
      <w:pPr>
        <w:spacing w:before="40" w:after="40"/>
        <w:ind w:left="283"/>
      </w:pPr>
      <w:r>
        <w:rPr>
          <w:rFonts w:ascii="Calibri" w:hAnsi="Calibri"/>
          <w:b/>
          <w:color w:val="4A6B25"/>
          <w:sz w:val="20"/>
        </w:rPr>
        <w:t xml:space="preserve">3. </w:t>
      </w:r>
      <w:r>
        <w:rPr>
          <w:rFonts w:ascii="Calibri" w:hAnsi="Calibri"/>
          <w:b w:val="0"/>
          <w:color w:val="3A4A28"/>
          <w:sz w:val="20"/>
        </w:rPr>
        <w:t>AI-driven data center electricity demand increasing natural gas consumption, supporting Bakken production volumes and Hess Midstream's gathering and processing throughput over the medium term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Single-basin concentration in the Bakken — Williston Basin production decline, regulatory changes, or infrastructure disruption would directly impact all three operating segments [1]</w:t>
      </w:r>
    </w:p>
    <w:p>
      <w:pPr>
        <w:spacing w:before="40" w:after="40"/>
        <w:ind w:left="283"/>
      </w:pPr>
      <w:r>
        <w:rPr>
          <w:rFonts w:ascii="Calibri" w:hAnsi="Calibri"/>
          <w:b/>
          <w:color w:val="4A6B25"/>
          <w:sz w:val="20"/>
        </w:rPr>
        <w:t xml:space="preserve">2. </w:t>
      </w:r>
      <w:r>
        <w:rPr>
          <w:rFonts w:ascii="Calibri" w:hAnsi="Calibri"/>
          <w:b w:val="0"/>
          <w:color w:val="3A4A28"/>
          <w:sz w:val="20"/>
        </w:rPr>
        <w:t>MLP leverage at 861% D/E amplifies downside risk; payout ratio of 101.5% exceeds GAAP earnings, raising distribution sustainability concerns if Bakken volumes decline [6]</w:t>
      </w:r>
    </w:p>
    <w:p>
      <w:pPr>
        <w:spacing w:before="40" w:after="40"/>
        <w:ind w:left="283"/>
      </w:pPr>
      <w:r>
        <w:rPr>
          <w:rFonts w:ascii="Calibri" w:hAnsi="Calibri"/>
          <w:b/>
          <w:color w:val="4A6B25"/>
          <w:sz w:val="20"/>
        </w:rPr>
        <w:t xml:space="preserve">3. </w:t>
      </w:r>
      <w:r>
        <w:rPr>
          <w:rFonts w:ascii="Calibri" w:hAnsi="Calibri"/>
          <w:b w:val="0"/>
          <w:color w:val="3A4A28"/>
          <w:sz w:val="20"/>
        </w:rPr>
        <w:t>Chevron sponsor uncertainty — post-merger capital allocation priorities may diverge from Hess Corporation's historical commitment to Bakken midstream investment and distribution growth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Hess Midstream operates physical pipeline, processing, and storage infrastructure in the Bakken shale formation — assets that AI structurally cannot displace [1]. Natural gas gathering, compression, processing, crude oil terminaling, and water services require physical infrastructure with long-lived assets and regulatory permits that create permanent barriers to AI substitution. The fee-based revenue model with minimum volume commitments from Chevron provides contractual insulation from both commodity price volatility and technology disruption. AI-driven data center electricity demand is increasing natural gas consumption, making midstream infrastructure an indirect beneficiary of the AI buildout. AI Opportunity (0/1): No quantifiable AI-related revenue exists. Midstream operations could benefit from AI-enhanced predictive maintenance and pipeline monitoring, but no revenue contribution has been disclosed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17</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Hess Midstream Q4 2025 Earnings and 2026 Guidance — $309.1M adjusted EBITDA, 83% margins, 2026 guidance $1.225-1.275B EBITDA, capex ~$150M, February 2026</w:t>
      </w:r>
    </w:p>
    <w:p>
      <w:pPr>
        <w:spacing w:before="20" w:after="20"/>
        <w:ind w:left="170"/>
      </w:pPr>
      <w:r>
        <w:rPr>
          <w:rFonts w:ascii="Calibri" w:hAnsi="Calibri"/>
          <w:b/>
          <w:color w:val="4A6B25"/>
          <w:sz w:val="15"/>
        </w:rPr>
        <w:t xml:space="preserve">2. </w:t>
      </w:r>
      <w:r>
        <w:rPr>
          <w:rFonts w:ascii="Calibri" w:hAnsi="Calibri"/>
          <w:b w:val="0"/>
          <w:color w:val="3A4A28"/>
          <w:sz w:val="17"/>
        </w:rPr>
        <w:t>Hess Midstream Investor Presentation — Capital spending reduction roadmap, 5% distribution growth and 10% adjusted FCF growth targets through 2028, January 2026</w:t>
      </w:r>
    </w:p>
    <w:p>
      <w:pPr>
        <w:spacing w:before="20" w:after="20"/>
        <w:ind w:left="170"/>
      </w:pPr>
      <w:r>
        <w:rPr>
          <w:rFonts w:ascii="Calibri" w:hAnsi="Calibri"/>
          <w:b/>
          <w:color w:val="4A6B25"/>
          <w:sz w:val="15"/>
        </w:rPr>
        <w:t xml:space="preserve">3. </w:t>
      </w:r>
      <w:r>
        <w:rPr>
          <w:rFonts w:ascii="Calibri" w:hAnsi="Calibri"/>
          <w:b w:val="0"/>
          <w:color w:val="3A4A28"/>
          <w:sz w:val="17"/>
        </w:rPr>
        <w:t>BusinessWire, TipRanks — Hess Midstream leadership transition post-Chevron merger, CEO Jonathan Stein appointment, Andy Walz as Chairman, July 2025</w:t>
      </w:r>
    </w:p>
    <w:p>
      <w:pPr>
        <w:spacing w:before="20" w:after="20"/>
        <w:ind w:left="170"/>
      </w:pPr>
      <w:r>
        <w:rPr>
          <w:rFonts w:ascii="Calibri" w:hAnsi="Calibri"/>
          <w:b/>
          <w:color w:val="4A6B25"/>
          <w:sz w:val="15"/>
        </w:rPr>
        <w:t xml:space="preserve">4. </w:t>
      </w:r>
      <w:r>
        <w:rPr>
          <w:rFonts w:ascii="Calibri" w:hAnsi="Calibri"/>
          <w:b w:val="0"/>
          <w:color w:val="3A4A28"/>
          <w:sz w:val="17"/>
        </w:rPr>
        <w:t>Hess Midstream Corporate Website — Company overview, operating segments, Bakken asset footprint (1,430 mi gas, 615 mi oil, 360 mi water pipelines),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Hess Midstream 2023 Sustainability Report — $3.6B flaring reduction investment, 1.6M tonnes CO2e eliminated, zero routine flaring target, net zero by 2050, SASB/TCFD/GRI reporting</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HESM (Hess Midstream LP),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