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HIG</w:t>
      </w:r>
      <w:r>
        <w:rPr>
          <w:rFonts w:ascii="Calibri" w:hAnsi="Calibri"/>
          <w:b/>
          <w:color w:val="1A2010"/>
          <w:sz w:val="40"/>
        </w:rPr>
        <w:t xml:space="preserve">  The Hartford Insurance Group, Inc.</w:t>
      </w:r>
    </w:p>
    <w:p>
      <w:pPr>
        <w:spacing w:after="120"/>
      </w:pPr>
      <w:r>
        <w:rPr>
          <w:rFonts w:ascii="Calibri" w:hAnsi="Calibri"/>
          <w:b/>
          <w:color w:val="6E8450"/>
          <w:sz w:val="18"/>
        </w:rPr>
        <w:t>GROWTH SLEEVE · 2026-04-25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Diversified · NYSE · United States</w:t>
      </w:r>
    </w:p>
    <w:p>
      <w:pPr>
        <w:spacing w:after="80"/>
      </w:pPr>
      <w:r>
        <w:rPr>
          <w:rFonts w:ascii="Calibri" w:hAnsi="Calibri"/>
          <w:b w:val="0"/>
          <w:color w:val="3A4A28"/>
          <w:sz w:val="20"/>
        </w:rPr>
        <w:t>The Hartford is a leading property and casualty insurance company and employee benefits provider in the United States and internationally. The company operates through Commercial Lines, Personal Lines, Property &amp; Casualty Other Operations, Group Benefits, and Hartford Funds segments, serving businesses and individuals with insurance, investment, and risk management products.</w:t>
      </w:r>
    </w:p>
    <w:p>
      <w:r>
        <w:rPr>
          <w:rFonts w:ascii="Calibri" w:hAnsi="Calibri"/>
          <w:b/>
          <w:color w:val="6E8450"/>
          <w:sz w:val="18"/>
        </w:rPr>
        <w:t>19,200 Employees · https://www.thehartford.com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Hartford completed its multi-year transformation from a diversified financial conglomerate (post-2008 crisis) into a focused P&amp;C and employee benefits insurer, but this pivot occurred over a decade ago under CEO Swift's leadership since 2014 [1]. Recent years have been characterized by disciplined execution and premium growth rather than new product launches. AI Deployment (2/2): The Hartford has appointed Jason Loveland as Chief AI and Analytics Officer and elevated Shekar Pannala to CIO specifically to drive enterprise-wide AI deployment across underwriting, claims, and customer service [2]. CEO Swift stated 'We will lead the AI implementation for the industry,' and the company reports digitized processes and modernized infrastructure through cloud, data, and AI investments [2]. Market Share (1/2): The Hartford is a meaningful player in U.S. commercial insurance and workers' compensation but competes with larger carriers like Travelers, Chubb, and AIG for commercial lines market share [1]. Pipeline (1/2): AI-enhanced underwriting, claims automation, and digital customer platforms are in development with expanded leadership roles, but no specific revenue targets or launch dates have been cited [2]. R&amp;D Intensity (0/1): Insurance companies generally invest below technology sector averages in R&amp;D, though The Hartford's technology investments have been significant relative to insurance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Hartford's purpose is to help people and businesses prevail through insurance and financial services, a clear and industry-appropriate mission that identifies what the company does but does not articulate a transformative or distinctive deeper purpose [2]. Community Impact (2/2): The Hartford has a long history of community investment in Hartford, Connecticut, including the Hartford Foundation for Public Giving (one of the nation's oldest community foundations), employee volunteer programs, and significant support for disability inclusion through its partnership with the U.S. Paralympic team and its disability employment programs [4]. Employee Retention (1/2): CEO Christopher Swift has been with the company since 2010 (CFO) and CEO since 2014, providing 16 years of leadership continuity [2]. The company has 19,200 employees with stable management, but no specific retention or tenure data was found. Insider Buying (1/2): Recent insider transactions show net selling (CEO sold 40,693 shares at ~$138), with other executives selling modest positions [3]. While this is common for insurance company executives with large equity comp, there is no evidence of meaningful net insider buying, indicating neutral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Hartford delivered outstanding 2025 results with net income of $3.8B ($13.32/share, up 23% YoY) on revenue of $28.1B (up 6.4%) [1]. Q1 2026 continued the momentum with core earnings of $866M (up 36% YoY) and revenue of $7.23B [1]. The balance sheet is conservatively managed with D/E of only 23.2% and essentially equal cash ($4.39B) to debt ($4.37B) [3]. ROE of 22.7% and trailing 12-month net income ROE of 23.0% demonstrate excellent capital efficiency for an insurer [1]. Forward P/E of 9.26x implies substantial undervaluation relative to earnings power, with estimated PEG well below 1.0 given 25%+ earnings growth [3]. Profit margin of 14.1% is solid for diversified insurance. The only weakness is revenue growth of 6.1% YoY (below the 10% target) and an 8.7% 3-year CAGR. Operating cash flow of $5.98B provides strong coverage. Liquidity floor cleared: 1.55M avg vol x $134.45 = $208.1M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The Hartford under Christopher Swift has demonstrated genuine infinite game thinking through its post-crisis transformation into a focused P&amp;C and benefits insurer, consistent premium growth, and 12 consecutive years of dividend increases. The company invests for the long term through technology and AI, but the insurance industry's inherently finite competitive dynamics (market share, combined ratios) temper the infinite game posture.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Hartford's purpose of helping people and businesses prevail through insurance connects the company's work to economic resilience and community stability, with a 215+ year history validating the enduring nature of this mission [2]. CEO Swift's transformation of the company from a crisis-era conglomerate into a focused insurer demonstrates strategic decisions traced back to core purpose. However, the cause is industry-standard rather than transformative, earning 2 points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Swift has led The Hartford since 2014 with consistent strategic direction, and the company maintains 19,200 employees with stable management [2]. The recent technology leadership restructuring (elevating Pannala and Hawkins to C-suite roles reporting directly to Swift) shows empowerment of senior leaders. However, no specific evidence of exceptional employee trust, long average tenure, or cultural practices creating psychological safety was identified, earning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Hartford competes with Travelers, Chubb, AIG, and insurtechs, and CEO Swift's language focuses on 'leading AI implementation for the industry' rather than defeating competitors [2]. The company's competitive strategy emphasizes improving its own capabilities through technology investment, using competitive dynamics as motivation to modernize rather than rhetoric about winning market share, earning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Hartford's post-2008 transformation — divesting its life insurance business, exiting variable annuities, and focusing on P&amp;C and employee benefits — represents meaningful strategic adaptation driven by purpose rather than desperation [2]. However, this pivot occurred over a decade ago and the company has since operated within its refined scope without further transformative shifts, earning 1 point.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Swift has demonstrated a pattern of courageous long-term investment: aggressively investing in technology infrastructure, AI, and cloud modernization while maintaining disciplined underwriting standards that sometimes sacrifice top-line growth for profitability [2]. The decision to exit legacy businesses post-crisis and invest heavily in digital transformation during a period when it could have coasted on improving financials shows willingness to choose long-term capability over short-term earnings, earning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Hartford is a best-in-class P&amp;C insurer delivering exceptional financial performance at a bargain valuation. Full-year 2025 net income of $3.8B (up 23%) and Q1 2026 core earnings of $866M (up 36%) demonstrate accelerating profitability driven by disciplined underwriting and earned premium growth [1]. At 9.26x forward P/E with 22.7% ROE, the stock is among the cheapest quality names in financial services. The balance sheet is conservative with D/E of 23.2%, essentially no net debt, and $5.98B operating cash flow providing a fortress capital position [3]. The company's 12 consecutive years of dividend growth (10.8% 5yr CAGR) and low 15.8% payout ratio signal substantial room for future capital returns. CEO Swift's aggressive AI investment positions Hartford as an early mover in insurance technology modernization [2].</w:t>
      </w:r>
    </w:p>
    <w:p>
      <w:pPr>
        <w:spacing w:after="120"/>
      </w:pPr>
      <w:r>
        <w:rPr>
          <w:rFonts w:ascii="Calibri" w:hAnsi="Calibri"/>
          <w:b w:val="0"/>
          <w:color w:val="3A4A28"/>
          <w:sz w:val="20"/>
        </w:rPr>
        <w:t>The bear case centers on insurance cycle risk and the inherently slow-growth nature of the P&amp;C industry. Revenue growth of 6.1% YoY reflects the mature U.S. insurance market, and the current hard pricing cycle that has driven margin expansion will eventually soften, potentially compressing combined ratios and earnings [1]. Catastrophe exposure remains a constant risk — a major hurricane season or widespread wildfire losses could produce significant reserve charges. The negative Inspire Impact score (-49) due to LGBT Activism may limit appeal for faith-aligned investors despite the otherwise strong ESG profile [4]. Insider selling by CEO Swift (40,693 shares at ~$138) suggests management may view the stock as fairly valued at current levels [3]. While AI investment is a positive differentiator, the insurance industry's adoption of AI could ultimately commoditize underwriting decisions and compress pricing advantages. The 1.79% dividend yield is below the 2% threshold for income-focused investors despite the strong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earnings acceleration with Q1 2026 core earnings up 36% YoY, potentially driving full-year 2026 EPS above $15 and further P/E expansion from the 9.26x level [1]</w:t>
      </w:r>
    </w:p>
    <w:p>
      <w:pPr>
        <w:spacing w:before="40" w:after="40"/>
        <w:ind w:left="283"/>
      </w:pPr>
      <w:r>
        <w:rPr>
          <w:rFonts w:ascii="Calibri" w:hAnsi="Calibri"/>
          <w:b/>
          <w:color w:val="4A6B25"/>
          <w:sz w:val="20"/>
        </w:rPr>
        <w:t xml:space="preserve">2. </w:t>
      </w:r>
      <w:r>
        <w:rPr>
          <w:rFonts w:ascii="Calibri" w:hAnsi="Calibri"/>
          <w:b w:val="0"/>
          <w:color w:val="3A4A28"/>
          <w:sz w:val="20"/>
        </w:rPr>
        <w:t>AI and technology deployment across underwriting, claims, and operations under new Chief AI and Analytics Officer, potentially driving expense ratio improvement and competitive advantage [2]</w:t>
      </w:r>
    </w:p>
    <w:p>
      <w:pPr>
        <w:spacing w:before="40" w:after="40"/>
        <w:ind w:left="283"/>
      </w:pPr>
      <w:r>
        <w:rPr>
          <w:rFonts w:ascii="Calibri" w:hAnsi="Calibri"/>
          <w:b/>
          <w:color w:val="4A6B25"/>
          <w:sz w:val="20"/>
        </w:rPr>
        <w:t xml:space="preserve">3. </w:t>
      </w:r>
      <w:r>
        <w:rPr>
          <w:rFonts w:ascii="Calibri" w:hAnsi="Calibri"/>
          <w:b w:val="0"/>
          <w:color w:val="3A4A28"/>
          <w:sz w:val="20"/>
        </w:rPr>
        <w:t>Capital return expansion through dividend increases (10.8% 5yr CAGR with only 15.8% payout ratio) and share repurchases funded by $5.98B operating cash flow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Insurance pricing cycle turn — the current hard market that has driven premium growth and margin expansion will eventually soften, potentially compressing the 22.7% ROE toward historical averages [1]</w:t>
      </w:r>
    </w:p>
    <w:p>
      <w:pPr>
        <w:spacing w:before="40" w:after="40"/>
        <w:ind w:left="283"/>
      </w:pPr>
      <w:r>
        <w:rPr>
          <w:rFonts w:ascii="Calibri" w:hAnsi="Calibri"/>
          <w:b/>
          <w:color w:val="4A6B25"/>
          <w:sz w:val="20"/>
        </w:rPr>
        <w:t xml:space="preserve">2. </w:t>
      </w:r>
      <w:r>
        <w:rPr>
          <w:rFonts w:ascii="Calibri" w:hAnsi="Calibri"/>
          <w:b w:val="0"/>
          <w:color w:val="3A4A28"/>
          <w:sz w:val="20"/>
        </w:rPr>
        <w:t>Catastrophe loss exposure from hurricanes, wildfires, or severe convective storm events could produce significant reserve charges and earnings volatility [1]</w:t>
      </w:r>
    </w:p>
    <w:p>
      <w:pPr>
        <w:spacing w:before="40" w:after="40"/>
        <w:ind w:left="283"/>
      </w:pPr>
      <w:r>
        <w:rPr>
          <w:rFonts w:ascii="Calibri" w:hAnsi="Calibri"/>
          <w:b/>
          <w:color w:val="4A6B25"/>
          <w:sz w:val="20"/>
        </w:rPr>
        <w:t xml:space="preserve">3. </w:t>
      </w:r>
      <w:r>
        <w:rPr>
          <w:rFonts w:ascii="Calibri" w:hAnsi="Calibri"/>
          <w:b w:val="0"/>
          <w:color w:val="3A4A28"/>
          <w:sz w:val="20"/>
        </w:rPr>
        <w:t>Insurtech competition from Lemonade, Root, and other AI-native insurers could accelerate technology-driven pricing pressure in personal lines and eventually penetrate commercial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underwriting and claims processing involve complex risk assessment, regulatory compliance, and client relationships that provide meaningful protection from AI disruption [1]. The Hartford's commercial lines and workers' compensation businesses require deep industry expertise and regulatory knowledge that AI cannot easily replicate. However, AI tools are increasingly capable of automating routine underwriting decisions, claims adjudication, and fraud detection, which could pressure pricing and margins across the industry. The Hartford is proactively deploying AI defensively — appointing a Chief AI and Analytics Officer and restructuring technology leadership to accelerate adoption [2]. Personal lines face greater exposure as insurtechs like Lemonade and Root use AI to automate the customer experience. AI Opportunity (1/1): CEO Swift stated 'We will lead the AI implementation for the industry,' and the company is actively deploying AI across underwriting, claims, and operations with dedicated C-suite leadership [2]. While specific revenue figures are not disclosed, the AI deployment is generating measurable operational efficiency gains across the enterprise.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Hartford Q4 2025 and Full Year 2025 Earnings Release — $3.8B net income (up 23%), $28.1B revenue, and Q1 2026 core earnings of $866M (up 36%), January/April 2026</w:t>
      </w:r>
    </w:p>
    <w:p>
      <w:pPr>
        <w:spacing w:before="20" w:after="20"/>
        <w:ind w:left="170"/>
      </w:pPr>
      <w:r>
        <w:rPr>
          <w:rFonts w:ascii="Calibri" w:hAnsi="Calibri"/>
          <w:b/>
          <w:color w:val="4A6B25"/>
          <w:sz w:val="15"/>
        </w:rPr>
        <w:t xml:space="preserve">2. </w:t>
      </w:r>
      <w:r>
        <w:rPr>
          <w:rFonts w:ascii="Calibri" w:hAnsi="Calibri"/>
          <w:b w:val="0"/>
          <w:color w:val="3A4A28"/>
          <w:sz w:val="17"/>
        </w:rPr>
        <w:t>CIO Dive, CDO Magazine, Coverager — Hartford AI strategy, Jason Loveland CAAO appointment, CEO Swift AI leadership comments,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HIG — key statistics including forward P/E 9.26x, D/E 23.2%, ROE 22.7%,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The Hartford Sustainability Report 2024 and Inspire Insight ESG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