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HIHO</w:t>
      </w:r>
      <w:r>
        <w:rPr>
          <w:rFonts w:ascii="Calibri" w:hAnsi="Calibri"/>
          <w:b/>
          <w:color w:val="1A2010"/>
          <w:sz w:val="40"/>
        </w:rPr>
        <w:t xml:space="preserve">  Highway Holdings Limited</w:t>
      </w:r>
    </w:p>
    <w:p>
      <w:pPr>
        <w:spacing w:after="120"/>
      </w:pPr>
      <w:r>
        <w:rPr>
          <w:rFonts w:ascii="Calibri" w:hAnsi="Calibri"/>
          <w:b/>
          <w:color w:val="6E8450"/>
          <w:sz w:val="18"/>
        </w:rPr>
        <w:t>GROWTH SLEEVE · 2026-04-11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NASDAQ · Hong Kong</w:t>
      </w:r>
    </w:p>
    <w:p>
      <w:pPr>
        <w:spacing w:after="80"/>
      </w:pPr>
      <w:r>
        <w:rPr>
          <w:rFonts w:ascii="Calibri" w:hAnsi="Calibri"/>
          <w:b w:val="0"/>
          <w:color w:val="3A4A28"/>
          <w:sz w:val="20"/>
        </w:rPr>
        <w:t>Highway Holdings Limited manufactures and sells metal, plastic, electric, and electronic parts and components, subassemblies, and finished products. Its products are used in photocopiers, laser printers, electrical connectors, vacuum cleaners, LED power supplies, stepping motors, and washing machine components. The company operates from Hong Kong and China, serving OEMs and contract manufacturers in Europe and North America.</w:t>
      </w:r>
    </w:p>
    <w:p>
      <w:r>
        <w:rPr>
          <w:rFonts w:ascii="Calibri" w:hAnsi="Calibri"/>
          <w:b/>
          <w:color w:val="6E8450"/>
          <w:sz w:val="18"/>
        </w:rPr>
        <w:t>https://www.highwayholdings.com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Highway Holdings scores poorly on innovation. (1) Innovation Track Record: 0 pts — the company has not launched meaningful new products or business transformations in 5 years; its core OEM metal stamping and electric motor business is structurally unchanged, though it is exploring elderly care services in China as a potential pivot [1][2]. (2) AI Deployment: 0 pts — no evidence of AI-powered products or AI-driven efficiency gains; the company operates traditional manufacturing lines. (3) Market Share Leadership: 0 pts — HIHO is a sub-$4M market cap commodity contract manufacturer with no category leadership or share differentiation. (4) Product Pipeline: 1 pt — management noted new motor product mass production ramping up and a gaming industry customer reactivating with a substantial order, providing some near-term pipeline visibility [2]. (5) R&amp;D Intensity: 1 pt — the company provides design, tooling development, and engineering services, suggesting at least industry-average R&amp;D activity for a small OEM manufacturer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Highway Holdings' mission is essentially unstated — the company website focuses on manufacturing capabilities rather than articulating a purpose beyond producing parts for OEM clients. Mission Floor: 1 pt — generic boilerplate manufacturer positioning with no inspiring vision. Community &amp; Charitable Impact: 0 pts — no evidence of charitable programs, community investment, or foundation activity. Employee Retention: 0 pts — no public data on employee retention, tenure, or turnover. Insider Buying: 1 pt — CEO Roland Kohl's 36-year tenure signals personal conviction [4], though no specific recent insider purchase data was found. Total: 1 + 0 + 0 + 1 =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scores zero due to the LIQUIDITY FLOOR hard rule. Average daily volume of 70,268 shares multiplied by stock price of $0.81 yields approximately $56,917 in daily traded value, far below the $1,000,000 minimum threshold [5]. The stock is too illiquid for institutional investors. Underlying fundamentals are also weak: revenue declined 40.5% YoY to a TTM of $5.36M, the company is unprofitable with -12.3% ROE and -13.8% profit margin, and Forward P/E is unavailable due to losses [1][5]. The balance sheet bright spot is minimal debt (D/E of 5.4%) and $5.6M in cash against a $3.76M market cap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Highway Holdings exhibits a largely finite mindset. The company has survived 36 years under founder-CEO Roland Kohl, suggesting some long-term orientation, but strategic direction appears reactive rather than purpose-driven. The recent exploration of elderly care services in China [2] feels like opportunistic diversification rather than a cause-driven pivot. The company's language centers on cost management and order-by-order survival rather than building toward a compelling future state.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 pt — Highway Holdings has no articulated Just Cause beyond manufacturing parts for OEM customers. The company website describes capabilities, not purpose. There is no vision of a future state that inspires sacrifice or long-term commitment. This is a finite player surviving quarter to quarter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pt — CEO Roland Kohl's 36-year tenure and management team averaging 15.5 years [4] suggest organizational stability and adequate trust. However, no evidence exists of exceptional employee empowerment or cultural practices beyond stable leadership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no evidence of management referencing competitors constructively or using competitive dynamics for self-improvement. The company operates in a commodity manufacturing space and management commentary focuses on customer concentration risk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pt — the company is exploring elderly care services in China and M&amp;A targets [2], showing willingness to evolve beyond core OEM manufacturing. However, these are early-stage explorations, not transformative pivots, and appear driven more by revenue desperation than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maintaining dividend payments and cash reserves while navigating a 40% revenue decline shows some commitment to long-term shareholder returns [1]. However, no evidence of bold strategic investments or principled stances that sacrifice near-term results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Highway Holdings trades at a deep discount to book value ($0.81 vs. $1.28 book) with $5.6M in cash against a $3.76M market cap, creating a theoretical net-cash floor. The company's FY2025 return to profitability demonstrated that the manufacturing platform can generate earnings when order flow normalizes, and new motor products plus gaming customer reactivation could stabilize revenue [2].</w:t>
      </w:r>
    </w:p>
    <w:p>
      <w:pPr>
        <w:spacing w:after="120"/>
      </w:pPr>
      <w:r>
        <w:rPr>
          <w:rFonts w:ascii="Calibri" w:hAnsi="Calibri"/>
          <w:b w:val="0"/>
          <w:color w:val="3A4A28"/>
          <w:sz w:val="20"/>
        </w:rPr>
        <w:t>However, the bull case is overwhelmed by structural risks. Revenue collapsed 40.5% YoY in Q2 FY2026 after a major OEM customer relocated motor manufacturing to Czechia [2]. The $3.76M market cap and sub-$60K daily liquidity make this essentially uninvestable for institutional capital. The Nasdaq minimum bid price deficiency notification [5] raises delisting risk at $0.81/share. With no clear competitive moat, declining end markets for office equipment, and dependence on a handful of OEM customers, Highway Holdings faces existential revenue concentration risk that its cash cushion can only delay, not resolve.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motor product mass production ramp and gaming customer reactivation could meaningfully boost revenue from depressed Q2 FY2026 levels</w:t>
      </w:r>
    </w:p>
    <w:p>
      <w:pPr>
        <w:spacing w:before="40" w:after="40"/>
        <w:ind w:left="283"/>
      </w:pPr>
      <w:r>
        <w:rPr>
          <w:rFonts w:ascii="Calibri" w:hAnsi="Calibri"/>
          <w:b/>
          <w:color w:val="4A6B25"/>
          <w:sz w:val="20"/>
        </w:rPr>
        <w:t xml:space="preserve">2. </w:t>
      </w:r>
      <w:r>
        <w:rPr>
          <w:rFonts w:ascii="Calibri" w:hAnsi="Calibri"/>
          <w:b w:val="0"/>
          <w:color w:val="3A4A28"/>
          <w:sz w:val="20"/>
        </w:rPr>
        <w:t>Cash position of $5.6M exceeding market cap provides downside protection and M&amp;A optionality for strategic acquisitions</w:t>
      </w:r>
    </w:p>
    <w:p>
      <w:pPr>
        <w:spacing w:before="40" w:after="40"/>
        <w:ind w:left="283"/>
      </w:pPr>
      <w:r>
        <w:rPr>
          <w:rFonts w:ascii="Calibri" w:hAnsi="Calibri"/>
          <w:b/>
          <w:color w:val="4A6B25"/>
          <w:sz w:val="20"/>
        </w:rPr>
        <w:t xml:space="preserve">3. </w:t>
      </w:r>
      <w:r>
        <w:rPr>
          <w:rFonts w:ascii="Calibri" w:hAnsi="Calibri"/>
          <w:b w:val="0"/>
          <w:color w:val="3A4A28"/>
          <w:sz w:val="20"/>
        </w:rPr>
        <w:t>Potential entry into China elderly care services market represents a large addressable market opportunity if management executes successfully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minimum bid price deficiency notification at $0.81/share creates near-term delisting risk if the stock remains below $1.00 for the compliance period</w:t>
      </w:r>
    </w:p>
    <w:p>
      <w:pPr>
        <w:spacing w:before="40" w:after="40"/>
        <w:ind w:left="283"/>
      </w:pPr>
      <w:r>
        <w:rPr>
          <w:rFonts w:ascii="Calibri" w:hAnsi="Calibri"/>
          <w:b/>
          <w:color w:val="4A6B25"/>
          <w:sz w:val="20"/>
        </w:rPr>
        <w:t xml:space="preserve">2. </w:t>
      </w:r>
      <w:r>
        <w:rPr>
          <w:rFonts w:ascii="Calibri" w:hAnsi="Calibri"/>
          <w:b w:val="0"/>
          <w:color w:val="3A4A28"/>
          <w:sz w:val="20"/>
        </w:rPr>
        <w:t>Extreme customer concentration with major OEM relocating to Czechia caused 40.5% YoY revenue decline — loss of one additional customer could be existential</w:t>
      </w:r>
    </w:p>
    <w:p>
      <w:pPr>
        <w:spacing w:before="40" w:after="40"/>
        <w:ind w:left="283"/>
      </w:pPr>
      <w:r>
        <w:rPr>
          <w:rFonts w:ascii="Calibri" w:hAnsi="Calibri"/>
          <w:b/>
          <w:color w:val="4A6B25"/>
          <w:sz w:val="20"/>
        </w:rPr>
        <w:t xml:space="preserve">3. </w:t>
      </w:r>
      <w:r>
        <w:rPr>
          <w:rFonts w:ascii="Calibri" w:hAnsi="Calibri"/>
          <w:b w:val="0"/>
          <w:color w:val="3A4A28"/>
          <w:sz w:val="20"/>
        </w:rPr>
        <w:t>Sub-$60K daily trading volume makes the stock effectively illiquid, preventing institutional participation and creating adverse selection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 pts — Highway Holdings operates physical manufacturing facilities producing metal-stamped parts, plastic injection products, and electric motor assemblies. These are tangible, physical-world operations involving specialized tooling and precision manufacturing that AI cannot easily substitute [3]. However, the company's OEM customers could face AI disruption in their end markets (e.g., office equipment like photocopiers and printers are declining categories), which indirectly exposes HIHO to demand erosion. AI Opportunity: 0 pts — no AI-related revenue; the company does not produce or deploy AI products. Total: 7 + 0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Highway Holdings Q2 FY2026 Earnings Release, PR Newswire, December 2025</w:t>
      </w:r>
    </w:p>
    <w:p>
      <w:pPr>
        <w:spacing w:before="20" w:after="20"/>
        <w:ind w:left="170"/>
      </w:pPr>
      <w:r>
        <w:rPr>
          <w:rFonts w:ascii="Calibri" w:hAnsi="Calibri"/>
          <w:b/>
          <w:color w:val="4A6B25"/>
          <w:sz w:val="15"/>
        </w:rPr>
        <w:t xml:space="preserve">2. </w:t>
      </w:r>
      <w:r>
        <w:rPr>
          <w:rFonts w:ascii="Calibri" w:hAnsi="Calibri"/>
          <w:b w:val="0"/>
          <w:color w:val="3A4A28"/>
          <w:sz w:val="17"/>
        </w:rPr>
        <w:t>Highway Holdings CEO commentary on business strategy and new product pipeline, Q2 FY2026 earnings release</w:t>
      </w:r>
    </w:p>
    <w:p>
      <w:pPr>
        <w:spacing w:before="20" w:after="20"/>
        <w:ind w:left="170"/>
      </w:pPr>
      <w:r>
        <w:rPr>
          <w:rFonts w:ascii="Calibri" w:hAnsi="Calibri"/>
          <w:b/>
          <w:color w:val="4A6B25"/>
          <w:sz w:val="15"/>
        </w:rPr>
        <w:t xml:space="preserve">3. </w:t>
      </w:r>
      <w:r>
        <w:rPr>
          <w:rFonts w:ascii="Calibri" w:hAnsi="Calibri"/>
          <w:b w:val="0"/>
          <w:color w:val="3A4A28"/>
          <w:sz w:val="17"/>
        </w:rPr>
        <w:t>Highway Holdings Limited company website — highwayholdings.com,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Highway Holdings management team analysis,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HIHO financial overview and Nasdaq notification,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