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HIMS</w:t>
      </w:r>
      <w:r>
        <w:rPr>
          <w:rFonts w:ascii="Calibri" w:hAnsi="Calibri"/>
          <w:b/>
          <w:color w:val="1A2010"/>
          <w:sz w:val="40"/>
        </w:rPr>
        <w:t xml:space="preserve">  Hims &amp; Hers Health, Inc.</w:t>
      </w:r>
    </w:p>
    <w:p>
      <w:pPr>
        <w:spacing w:after="120"/>
      </w:pPr>
      <w:r>
        <w:rPr>
          <w:rFonts w:ascii="Calibri" w:hAnsi="Calibri"/>
          <w:b/>
          <w:color w:val="6E8450"/>
          <w:sz w:val="18"/>
        </w:rPr>
        <w:t>GROWTH SLEEVE · 2026-05-12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Hims &amp; Hers Health operates a consumer-first health and wellness platform connecting consumers to licensed healthcare professionals. The company offers curated prescription and non-prescription products across sexual health, hair care, dermatology, mental health, and weight loss categories through its digital platform. It owns the full vertical stack including telemedicine, cloud pharmacy, and direct-to-consumer brand.</w:t>
      </w:r>
    </w:p>
    <w:p>
      <w:r>
        <w:rPr>
          <w:rFonts w:ascii="Calibri" w:hAnsi="Calibri"/>
          <w:b/>
          <w:color w:val="6E8450"/>
          <w:sz w:val="18"/>
        </w:rPr>
        <w:t>2,442 Employees · https://www.hims.com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Hims &amp; Hers has successfully pivoted from a men's health startup to a multi-category telehealth platform, growing from $527M revenue in 2022 to $2.35B in 2025, with an aggressive expansion into GLP-1 weight loss that now drives growth guidance of 19-28% for 2026 [1]. The vertically integrated model (EMR, telemedicine, pharmacy, brand) is distinctive. AI Deployment (2/2): CEO Dudum recruited a CTO from the autonomous vehicle industry specifically to accelerate AI-driven personalization, and AI is being deployed for treatment recommendations, patient matching, and operational efficiency across the platform [2]. Market Share Leadership (1/2): Hims &amp; Hers is a leading direct-to-consumer telehealth brand with 2.6 million subscribers (+9% YoY), though it competes with established players like Teladoc, Ro, and traditional healthcare providers [1]. Product Pipeline (1/2): Weight loss (GLP-1), labs, and international expansion represent clear growth vectors with 2030 targets of $6.5B revenue, though specific product launch timelines are vague. R&amp;D Intensity (1/1): The company invested in building proprietary technology including EMR, pharmacy systems, and AI capabilities, above industry average for telehealth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Hims &amp; Hers states its purpose as 'rebuilding the healthcare experience from the ground up' and being 'the front door to the healthcare system for the modern patient'—clear and specific but not deeply transformative or cause-driven beyond improving access to common treatments [2]. Community Impact (1/2): The platform democratizes access to healthcare for conditions many people find stigmatizing (hair loss, ED, mental health), which has genuine social impact, though there is no distinctive philanthropic program. Employee Retention (0/2): No specific retention data available; the company has only 2,442 employees and limited public information about workplace culture or tenure. Insider Buying (1/2): CFO Oluyemi Okupe sold $1.46M in shares in April 2026 through options exercises, and other officers also sold—net insider activity is selling, though some is related to equity compensation mechanics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Hims &amp; Hers shows a mixed financial profile driven by the GLP-1 pivot. D/E of 253.7% is elevated (score 0.20), ROE is negative at -2.7% (score 0), and profit margin is slightly negative at -0.6% (score 0) as the company absorbs costs from scaling weight loss operations [1]. However, the 5-year revenue CAGR of ~64% is exceptional (score 1.0), Forward P/E of 21.2 is reasonable (score 0.97), and PEG of 2.43 is moderate (score 0.29). Q1 2026 revenue of $608M with guidance for $2.8-3.0B full year shows the growth trajectory, but gross margins compressed to 65% from 73% YoY due to GLP-1 costs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Hims &amp; Hers shows mixed infinite game characteristics. The vision to rebuild healthcare from the ground up and the patience to build a vertically integrated platform reflect long-term thinking. However, the aggressive pivot to compounded GLP-1s that drew FDA enforcement and Novo Nordisk litigation suggests a willingness to push regulatory boundaries for short-term growth, which is quintessentially finite game behavior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Hims &amp; Hers has a genuine cause—democratizing access to healthcare for stigmatized conditions and making the healthcare experience consumer-friendly. CEO Dudum consistently articulates this vision and strategic decisions (telehealth, pharmacy ownership, multi-category expansion) connect to it. However, the cause has not been tested through crisis in a way that validates deep commitment beyond what's commercially advantageous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2,442 employees generating $2.35B in revenue, the workforce appears highly productive. The decision to recruit a CTO from autonomous vehicles shows willingness to bring in external talent for strategic capabilities. However, there is insufficient public evidence of exceptional trust or employee empowerment to warrant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Hims &amp; Hers' competitive positioning is aggressive and finite-minded. The company's approach to Novo Nordisk—marketing compounded semaglutide as comparable to branded Ozempic/Wegovy despite FDA warnings—reflects a 'beat the competitor' mentality rather than one of self-improvement. The regulatory confrontation suggests prioritizing market capture over industry collaboration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men's health startup to multi-category telehealth platform, and then the aggressive expansion into weight loss/GLP-1, show willingness to evolve the business model. The recent agreement with Novo Nordisk to shift from compounded to branded medications demonstrates adaptability under regulatory pressure. However, these are incremental category expansions rather than transformative reinventions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leadership decisions prioritize short-term growth over long-term institutional credibility. The aggressive compounded GLP-1 strategy drew FDA warning letters (September 2025), Novo Nordisk litigation (February 2026), and ultimately required a strategic retreat to branded medications [3]. CFO and officers selling shares during this period suggests leadership is managing personal risk rather than demonstrating conviction through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Hims &amp; Hers is a high-growth telehealth platform with 2.6 million subscribers, Q1 2026 revenue of $608M, and full-year guidance raised to $2.8-3.0B (19-28% growth) with ambitious 2030 targets of $6.5B revenue [1]. The vertically integrated model (brand, telemedicine, pharmacy, AI personalization) creates a consumer healthcare moat, and the GLP-1 weight loss expansion addresses a $100B+ TAM. Forward P/E of 21x is attractive for a company guiding to $275-350M adjusted EBITDA in 2026, suggesting the growth story is not yet fully priced in [1][4].</w:t>
      </w:r>
    </w:p>
    <w:p>
      <w:pPr>
        <w:spacing w:after="120"/>
      </w:pPr>
      <w:r>
        <w:rPr>
          <w:rFonts w:ascii="Calibri" w:hAnsi="Calibri"/>
          <w:b w:val="0"/>
          <w:color w:val="3A4A28"/>
          <w:sz w:val="20"/>
        </w:rPr>
        <w:t>The bear case is substantial: the company reported a $92M net loss in Q1 2026 vs. $50M profit a year ago, with gross margins compressing from 73% to 65% as GLP-1 costs scale [1]. The FDA warning letter, Novo Nordisk patent lawsuit, and regulatory crackdown on compounded semaglutide create existential risk for the weight loss category that now drives growth expectations. D/E of 254% is dangerously high for a company not yet consistently profitable. The MISALIGNED faith score (-62) and abortifacient attribution further narrow the investor base. Management's $2.8-3.0B guidance depends on a GLP-1 pivot that is still navigating regulatory minefields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 loss category scaling with partnership transition from compounded to branded Novo Nordisk medications, potentially unlocking institutional investor confidence if regulatory risk resolves [3]</w:t>
      </w:r>
    </w:p>
    <w:p>
      <w:pPr>
        <w:spacing w:before="40" w:after="40"/>
        <w:ind w:left="283"/>
      </w:pPr>
      <w:r>
        <w:rPr>
          <w:rFonts w:ascii="Calibri" w:hAnsi="Calibri"/>
          <w:b/>
          <w:color w:val="4A6B25"/>
          <w:sz w:val="20"/>
        </w:rPr>
        <w:t xml:space="preserve">2. </w:t>
      </w:r>
      <w:r>
        <w:rPr>
          <w:rFonts w:ascii="Calibri" w:hAnsi="Calibri"/>
          <w:b w:val="0"/>
          <w:color w:val="3A4A28"/>
          <w:sz w:val="20"/>
        </w:rPr>
        <w:t>Revenue acceleration from 4% Q1 growth to 25-28% guided for Q2 2026 as new product categories and international expansion gain traction [1]</w:t>
      </w:r>
    </w:p>
    <w:p>
      <w:pPr>
        <w:spacing w:before="40" w:after="40"/>
        <w:ind w:left="283"/>
      </w:pPr>
      <w:r>
        <w:rPr>
          <w:rFonts w:ascii="Calibri" w:hAnsi="Calibri"/>
          <w:b/>
          <w:color w:val="4A6B25"/>
          <w:sz w:val="20"/>
        </w:rPr>
        <w:t xml:space="preserve">3. </w:t>
      </w:r>
      <w:r>
        <w:rPr>
          <w:rFonts w:ascii="Calibri" w:hAnsi="Calibri"/>
          <w:b w:val="0"/>
          <w:color w:val="3A4A28"/>
          <w:sz w:val="20"/>
        </w:rPr>
        <w:t>AI-driven personalization improving conversion and retention rates, with new autonomous-vehicle-pedigree CTO leading technology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and litigation risk: FDA enforcement actions, Novo Nordisk patent litigation, and potential further crackdowns on compounded medications could materially impair the weight loss growth thesis [3]</w:t>
      </w:r>
    </w:p>
    <w:p>
      <w:pPr>
        <w:spacing w:before="40" w:after="40"/>
        <w:ind w:left="283"/>
      </w:pPr>
      <w:r>
        <w:rPr>
          <w:rFonts w:ascii="Calibri" w:hAnsi="Calibri"/>
          <w:b/>
          <w:color w:val="4A6B25"/>
          <w:sz w:val="20"/>
        </w:rPr>
        <w:t xml:space="preserve">2. </w:t>
      </w:r>
      <w:r>
        <w:rPr>
          <w:rFonts w:ascii="Calibri" w:hAnsi="Calibri"/>
          <w:b w:val="0"/>
          <w:color w:val="3A4A28"/>
          <w:sz w:val="20"/>
        </w:rPr>
        <w:t>Profitability deterioration: Q1 2026 net loss of $92M with gross margin compression to 65% from 73%, and management flagging continued margin pressure through 2026 with improvement not expected until 2027 [1]</w:t>
      </w:r>
    </w:p>
    <w:p>
      <w:pPr>
        <w:spacing w:before="40" w:after="40"/>
        <w:ind w:left="283"/>
      </w:pPr>
      <w:r>
        <w:rPr>
          <w:rFonts w:ascii="Calibri" w:hAnsi="Calibri"/>
          <w:b/>
          <w:color w:val="4A6B25"/>
          <w:sz w:val="20"/>
        </w:rPr>
        <w:t xml:space="preserve">3. </w:t>
      </w:r>
      <w:r>
        <w:rPr>
          <w:rFonts w:ascii="Calibri" w:hAnsi="Calibri"/>
          <w:b w:val="0"/>
          <w:color w:val="3A4A28"/>
          <w:sz w:val="20"/>
        </w:rPr>
        <w:t>Balance sheet leverage: D/E of 254% creates financial fragility if growth disappoints, with limited cushion to absorb regulatory setbacks or competitive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Telehealth is partially exposed to AI disruption as AI-powered diagnostic tools and treatment recommendation engines could reduce the need for human healthcare providers in routine consultations—which is the core of Hims &amp; Hers' business. However, the company's vertically integrated pharmacy and brand relationship provide meaningful moats that pure AI cannot replicate, and FDA regulations create substantial barriers to AI-only healthcare delivery [1][2]. AI Opportunity (1/1): Hims &amp; Hers is actively deploying AI for personalized treatment recommendations and operational efficiency, with the CEO recruiting autonomous-vehicle AI talent specifically for this purpose, demonstrating real AI revenue contribution through improved conversion and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Hims &amp; Hers Q1 2026 Earnings Release, May 11, 2026 — $608M revenue (+4% YoY), $92M net loss, 2.6M subscribers, FY2026 guidance $2.8-3.0B</w:t>
      </w:r>
    </w:p>
    <w:p>
      <w:pPr>
        <w:spacing w:before="20" w:after="20"/>
        <w:ind w:left="170"/>
      </w:pPr>
      <w:r>
        <w:rPr>
          <w:rFonts w:ascii="Calibri" w:hAnsi="Calibri"/>
          <w:b/>
          <w:color w:val="4A6B25"/>
          <w:sz w:val="15"/>
        </w:rPr>
        <w:t xml:space="preserve">2. </w:t>
      </w:r>
      <w:r>
        <w:rPr>
          <w:rFonts w:ascii="Calibri" w:hAnsi="Calibri"/>
          <w:b w:val="0"/>
          <w:color w:val="3A4A28"/>
          <w:sz w:val="17"/>
        </w:rPr>
        <w:t>Andrew Dudum CEO Profile — Quartr, TechCrunch, Fortune 40 Under 40, 2025-2026</w:t>
      </w:r>
    </w:p>
    <w:p>
      <w:pPr>
        <w:spacing w:before="20" w:after="20"/>
        <w:ind w:left="170"/>
      </w:pPr>
      <w:r>
        <w:rPr>
          <w:rFonts w:ascii="Calibri" w:hAnsi="Calibri"/>
          <w:b/>
          <w:color w:val="4A6B25"/>
          <w:sz w:val="15"/>
        </w:rPr>
        <w:t xml:space="preserve">3. </w:t>
      </w:r>
      <w:r>
        <w:rPr>
          <w:rFonts w:ascii="Calibri" w:hAnsi="Calibri"/>
          <w:b w:val="0"/>
          <w:color w:val="3A4A28"/>
          <w:sz w:val="17"/>
        </w:rPr>
        <w:t>FDA Warning Letter September 2025; Novo Nordisk Litigation February 2026; CNBC/STAT GLP-1 Compounding Coverage</w:t>
      </w:r>
    </w:p>
    <w:p>
      <w:pPr>
        <w:spacing w:before="20" w:after="20"/>
        <w:ind w:left="170"/>
      </w:pPr>
      <w:r>
        <w:rPr>
          <w:rFonts w:ascii="Calibri" w:hAnsi="Calibri"/>
          <w:b/>
          <w:color w:val="4A6B25"/>
          <w:sz w:val="15"/>
        </w:rPr>
        <w:t xml:space="preserve">4. </w:t>
      </w:r>
      <w:r>
        <w:rPr>
          <w:rFonts w:ascii="Calibri" w:hAnsi="Calibri"/>
          <w:b w:val="0"/>
          <w:color w:val="3A4A28"/>
          <w:sz w:val="17"/>
        </w:rPr>
        <w:t>Yahoo Finance — HIMS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