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HIVE</w:t>
      </w:r>
      <w:r>
        <w:rPr>
          <w:rFonts w:ascii="Calibri" w:hAnsi="Calibri"/>
          <w:b/>
          <w:color w:val="1A2010"/>
          <w:sz w:val="40"/>
        </w:rPr>
        <w:t xml:space="preserve">  HIVE Digital Technologies Ltd</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HIVE Digital Technologies is a pioneering blockchain infrastructure and AI computing company operating green-energy-powered data centers in Canada, Sweden, and Paraguay. The company mines Bitcoin at 25 EH/s and operates GPU cloud services through its BUZZ HPC subsidiary, targeting both Bitcoin mining and AI/HPC workloads.</w:t>
      </w:r>
    </w:p>
    <w:p>
      <w:r>
        <w:rPr>
          <w:rFonts w:ascii="Calibri" w:hAnsi="Calibri"/>
          <w:b/>
          <w:color w:val="6E8450"/>
          <w:sz w:val="18"/>
        </w:rPr>
        <w:t>24 Employees · https://hivedigitaltechnologies.com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HIVE successfully executed a dual-engine strategy, scaling Bitcoin hashrate to 25 EH/s while building Tier III+ AI data centers in Toronto and Sweden with 2,000+ next-generation GPUs each [1]. Revenue surged 285% YoY to a record $87.3M in Q2 FY2026, with BUZZ HPC revenue up 175% YoY driven by AI cloud demand [1]. The company's pivot from pure crypto mining to AI infrastructure — securing a $30M two-year contract for 504 Nvidia Blackwell GPUs and partnering with Dell Technologies — demonstrates genuine product innovation and market responsiveness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Aydin Kilic's leadership through the Ethereum merge pivot and subsequent AI infrastructure expansion demonstrates adaptability and team trust [2]. Executive Chairman Frank Holmes (U.S. Global Investors) provides strategic vision and capital markets credibility. HIVE's commitment to 100% renewable energy across all facilities is authentic and differentiating, backed by validated science-based emissions reduction targets of 42% by 2030 [3]. The 24-employee count reflects extreme operational efficiency but limits cultural depth assessment.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285% revenue growth, HIVE remains unprofitable with a -48.6% profit margin and negative ROE of -25.2% [4]. The forward P/E of 2.9 suggests aggressive earnings expectations, but the company reported a net loss of $15.8M in Q2 FY2026 due to non-cash losses and derivatives [1]. D/E of 3.2% reflects minimal leverage. Revenue is highly dependent on volatile Bitcoin prices, and the $489M market cap at $1.93/share reflects significant capital destruction from the 2021 highs.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HIVE demonstrates strong existential flexibility through its pivot from Ethereum to Bitcoin to AI infrastructure, but the speculative nature of crypto mining and the short institutional history create inherent finite pressures around Bitcoin price cycles and capital market fundraising windows.</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HIVE's mission to provide 'scalable, environmentally responsible solutions for the digital economy' connects sustainability with technology infrastructure [2]. The 100% renewable energy commitment is genuine and differentiating. However, Bitcoin mining's purpose remains debated, and the company's cause evolved opportunistically from Ethereum mining rather than from a founding principle.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Kilic navigated the Ethereum merge crisis successfully, earning the CEO role in January 2023 through demonstrated competence [2]. The appointment of Craig Tavares (20+ years digital infrastructure experience) to lead BUZZ HPC shows strategic talent acquisition. RSU-based compensation alignment is explicit. However, the 24-employee organization is extremely lean, and the beta of 3.4 reflects the volatile environment teams must navigate.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HIVE competes against MARA, CleanSpark, and Riot in Bitcoin mining, and against CoreWeave and Lambda in GPU cloud. The company positions itself as uniquely green rather than learning from larger rivals, and competitive messaging emphasizes 'lowest G&amp;A costs per Bitcoin mined' — a finite metric focus rather than 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HIVE's pivot from Ethereum mining to Bitcoin (post-merge) to AI infrastructure represents genuine existential flexibility executed under pressure [2]. The company was the first public crypto miner (2017) and has consistently reinvented its business model in response to market shifts. Geographic diversification across Canada, Sweden, and Paraguay further demonstrates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AI pivot required significant capital expenditure ($25M Boden, $40M Toronto for Tier 3 conversions) during a period of negative profitability, showing willingness to invest through adversity [1]. However, the company's aggressive $750M ARR target for end-2026 ($550M Bitcoin + $225M HPC) may represent overcommitment rather than disciplined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HIVE offers a unique dual-engine exposure to both Bitcoin mining (25 EH/s, scaling to 35 EH/s by Q4 2026) and AI cloud infrastructure (BUZZ HPC targeting $140M ARR by Q4 2026), all powered by 100% renewable energy [1][2]. Q2 FY2026 revenue of $87.3M (+285% YoY) demonstrates the hashrate expansion thesis is working, and the AI pivot provides earnings diversification beyond Bitcoin price cycles. At $1.93/share with a forward P/E of 2.9, the stock prices in significant earnings recovery if Bitcoin remains above $80K and BUZZ HPC contracts materialize.</w:t>
      </w:r>
    </w:p>
    <w:p>
      <w:pPr>
        <w:spacing w:after="120"/>
      </w:pPr>
      <w:r>
        <w:rPr>
          <w:rFonts w:ascii="Calibri" w:hAnsi="Calibri"/>
          <w:b w:val="0"/>
          <w:color w:val="3A4A28"/>
          <w:sz w:val="20"/>
        </w:rPr>
        <w:t>The bear case is substantial: HIVE remains unprofitable with -48.6% profit margin, Bitcoin mining revenue is entirely dependent on crypto prices (BTC has a history of 70%+ drawdowns), and the $750M ARR target for end-2026 requires flawless execution across both mining and HPC [1][4]. The AI data center build-out faces intense competition from well-capitalized hyperscalers, and HIVE's stock-based compensation dilution is a persistent concern. ESG-focused institutional investors may exclude all crypto miners regardless of energy source, limiting the shareholder base. A Bitcoin price decline below $50K would severely impair the mining revenue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BUZZ HPC scale-up with Nvidia Blackwell GPUs and Bell Canada partnership expected to reach $140M annualized run-rate revenue by Q4 2026 at ~80% gross margins [1]</w:t>
      </w:r>
    </w:p>
    <w:p>
      <w:pPr>
        <w:spacing w:before="40" w:after="40"/>
        <w:ind w:left="283"/>
      </w:pPr>
      <w:r>
        <w:rPr>
          <w:rFonts w:ascii="Calibri" w:hAnsi="Calibri"/>
          <w:b/>
          <w:color w:val="4A6B25"/>
          <w:sz w:val="20"/>
        </w:rPr>
        <w:t xml:space="preserve">2. </w:t>
      </w:r>
      <w:r>
        <w:rPr>
          <w:rFonts w:ascii="Calibri" w:hAnsi="Calibri"/>
          <w:b w:val="0"/>
          <w:color w:val="3A4A28"/>
          <w:sz w:val="20"/>
        </w:rPr>
        <w:t>Bitcoin hashrate expansion to 35 EH/s by Q4 2026 with next-gen ASICs at 17.5 J/TH efficiency, providing operating leverage on any BTC price appreciation [1]</w:t>
      </w:r>
    </w:p>
    <w:p>
      <w:pPr>
        <w:spacing w:before="40" w:after="40"/>
        <w:ind w:left="283"/>
      </w:pPr>
      <w:r>
        <w:rPr>
          <w:rFonts w:ascii="Calibri" w:hAnsi="Calibri"/>
          <w:b/>
          <w:color w:val="4A6B25"/>
          <w:sz w:val="20"/>
        </w:rPr>
        <w:t xml:space="preserve">3. </w:t>
      </w:r>
      <w:r>
        <w:rPr>
          <w:rFonts w:ascii="Calibri" w:hAnsi="Calibri"/>
          <w:b w:val="0"/>
          <w:color w:val="3A4A28"/>
          <w:sz w:val="20"/>
        </w:rPr>
        <w:t>Yguazú campus 100 MW hydroelectric expansion in Paraguay targeted for Q3 2026 commissioning, adding capacity for both mining and HPC workloads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volatility — a 50% BTC decline would cut ~$275M from the $550M mining ARR target and likely force capital allocation trade-offs between mining expansion and HPC investment [1]</w:t>
      </w:r>
    </w:p>
    <w:p>
      <w:pPr>
        <w:spacing w:before="40" w:after="40"/>
        <w:ind w:left="283"/>
      </w:pPr>
      <w:r>
        <w:rPr>
          <w:rFonts w:ascii="Calibri" w:hAnsi="Calibri"/>
          <w:b/>
          <w:color w:val="4A6B25"/>
          <w:sz w:val="20"/>
        </w:rPr>
        <w:t xml:space="preserve">2. </w:t>
      </w:r>
      <w:r>
        <w:rPr>
          <w:rFonts w:ascii="Calibri" w:hAnsi="Calibri"/>
          <w:b w:val="0"/>
          <w:color w:val="3A4A28"/>
          <w:sz w:val="20"/>
        </w:rPr>
        <w:t>Intense GPU cloud competition from CoreWeave, Lambda, and hyperscalers could pressure BUZZ HPC margins and contract win rates below the 80% gross margin target [2]</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proposed crypto mining energy taxes (EU MiCA, U.S. 30% energy tax proposal) could materially impair mining economics even with renewable energy sources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HIVE is a direct AI beneficiary rather than an AI-disrupted business — its Tier III+ GPU data centers serve the very AI workloads driving demand for compute infrastructure [1][2]. The BUZZ HPC subsidiary targets $140M annualized run-rate revenue by Q4 2026 at ~80% gross margins from AI cloud services, transforming HIVE from a pure crypto miner to an AI infrastructure provider [1]. The company's green energy positioning (100% hydro) addresses ESG screening that excludes competitors, creating a differentiated moat in the AI infrastructure space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HIVE Digital Technologies Q2 FY2026 Earnings Release, 285% Revenue Growth, March 2026</w:t>
      </w:r>
    </w:p>
    <w:p>
      <w:pPr>
        <w:spacing w:before="20" w:after="20"/>
        <w:ind w:left="170"/>
      </w:pPr>
      <w:r>
        <w:rPr>
          <w:rFonts w:ascii="Calibri" w:hAnsi="Calibri"/>
          <w:b/>
          <w:color w:val="4A6B25"/>
          <w:sz w:val="15"/>
        </w:rPr>
        <w:t xml:space="preserve">2. </w:t>
      </w:r>
      <w:r>
        <w:rPr>
          <w:rFonts w:ascii="Calibri" w:hAnsi="Calibri"/>
          <w:b w:val="0"/>
          <w:color w:val="3A4A28"/>
          <w:sz w:val="17"/>
        </w:rPr>
        <w:t>HIVE Digital Technologies CEO Aydin Kilic and corporate profiles,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HIVE Digital Technologies ESG and Green Energy Strategy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HIVE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