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HIW</w:t>
      </w:r>
      <w:r>
        <w:rPr>
          <w:rFonts w:ascii="Calibri" w:hAnsi="Calibri"/>
          <w:b/>
          <w:color w:val="1A2010"/>
          <w:sz w:val="40"/>
        </w:rPr>
        <w:t xml:space="preserve">  Highwoods Properties, Inc.</w:t>
      </w:r>
    </w:p>
    <w:p>
      <w:pPr>
        <w:spacing w:after="120"/>
      </w:pPr>
      <w:r>
        <w:rPr>
          <w:rFonts w:ascii="Calibri" w:hAnsi="Calibri"/>
          <w:b/>
          <w:color w:val="6E8450"/>
          <w:sz w:val="18"/>
        </w:rPr>
        <w:t>DIVIDEND SLEEVE · 2026-04-27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Highwoods Properties is an office REIT focused on the best business districts (BBDs) of fast-growing Sun Belt markets including Raleigh, Nashville, Tampa, Charlotte, Atlanta, Dallas, and Pittsburgh. The company owns approximately 27 million square feet of office space and is known for its BBD-focused strategy and strong ESG practices.</w:t>
      </w:r>
    </w:p>
    <w:p>
      <w:r>
        <w:rPr>
          <w:rFonts w:ascii="Calibri" w:hAnsi="Calibri"/>
          <w:b/>
          <w:color w:val="6E8450"/>
          <w:sz w:val="18"/>
        </w:rPr>
        <w:t>450 Employees · https://www.highwoods.com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Highwoods reported Q4 2025 revenue of $203.4M with EPS beating forecasts, and achieved a 20% increase in net effective rents compared to 2024 [1]. The company leased 526,000 sq ft of second-generation space in Q4 with positive cash rent spreads, demonstrating operational execution in a challenging office market. AI Deployment (0/2): No meaningful AI deployment — the company operates traditional office real estate with no disclosed AI integration in property management, leasing, or operations. Market Share (2/2): Highwoods is the dominant office REIT in Sun Belt BBDs, a differentiated geographic focus that has outperformed coastal office markets in the post-pandemic era [1]. Pipeline (1/2): Projected 200 basis point occupancy gain by year-end 2026 and $50-60M NOI growth potential across eight buildings provides visible near-term upside [1]. R&amp;D Intensity (0/1): REITs do not have traditional R&amp;D, though Highwoods invests in property improvements and sustainability (100 ENERGY STAR certified properties)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Highwoods' mission centers on creating the best workplaces in the best business districts — a functional real estate mission that serves tenants and communities but lacks broader societal aspiration [3]. Community Impact (2/2): The company's 27M sq ft portfolio in Sun Belt markets provides critical workplace infrastructure, employs approximately 450 people, and nearly 50% of employees are women — a strong gender equity metric for the REIT industry [3]. The 100 ENERGY STAR certified properties demonstrate genuine environmental commitment. Employee Retention (1/2): Glassdoor 3.4/5 culture rating is modest, with mixed reviews — some praising excellent benefits while others cite disconnected upper management and resistance to cultural change [2]. Insider Buying (1/2): CEO Ted Klinck has led the company since 2018 with $5.15M total compensation (85% equity-linked), demonstrating alignment, though the high equity-to-salary ratio is standard for REITs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Highwoods presents a mixed financial picture for a Dividend-sleeve REIT. FFO guidance of $3.40-3.68/share for FY2026 (midpoint $3.54, up 5.7% from initial 2025 outlook) is solid [1]. The 7.7% dividend yield on $2.00/share annual dividend is attractive, with a payout ratio around 56% of FFO midpoint — well covered [4]. P/E of 16.5x and forward P/E of 31.4x reflect the market's concern about the office REIT sector's secular headwinds. D/E of 149.2% is typical for a leveraged REIT but represents substantial interest rate sensitivity [5]. Profit margin of 19.7% and ROE of 6.7% are adequate. Revenue declined -1.6% YoY reflecting office demand challenges, though same-property GAAP NOI is guided 150 bps higher for 2026 [1]. Year-end 2026 occupancy projected at 87.5%, below the pre-pandemic 90%+ norm. Liquidity floor cleared: 1.40M avg vol × $23.89 = $33.5M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Highwoods demonstrates moderate infinite game characteristics — a 30+ year dividend history, focus on the best business districts in growing Sun Belt markets, and strong ESG commitments reflect long-term thinking. However, resistance to cultural adaptation (per Glassdoor) and the secular challenges facing office REITs test the company's willingness to evolve.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Highwoods' BBD strategy — owning the best office space in the best locations within fast-growing Sun Belt markets — represents a clear and durable just cause that transcends individual properties [1]. The 30+ year dividend history demonstrates commitment to shareholder returns across multiple economic cycles, and the 100 ENERGY STAR certifications show environmental conviction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3.4/5 culture rating with concerns about disconnected upper management and resistance to new working culture suggests moderate but not high trust [2]. The 50% female workforce is a positive signal, but reviews indicating leadership has a 'warped perception of the worker's perspective' suggest top-down management rather than collaborative trust building.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Highwoods competes against Cousins Properties, Piedmont Office Realty, and Parkway Ventures in the Sun Belt office REIT space, and has consistently differentiated through its BBD-focused strategy and tenant quality rather than competing on price [1]. The decision to remain a pure-play office REIT rather than diversifying into industrial or life sciences shows strategic conviction.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Highwoods has shown limited existential flexibility — the company remains a pure-play office REIT despite the secular shift toward remote and hybrid work post-pandemic [1]. While the Sun Belt BBD focus is strategically sound, the company has not meaningfully diversified into adjacent property types (life sciences, flex space) that might better capture workplace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and investing in office properties during the post-pandemic period when many investors abandoned the sector shows conviction, and the projected $50-60M NOI growth across eight buildings demonstrates active portfolio management [1]. However, the flat dividend ($2.00/share, no growth) suggests cautious financial management rather than aggressive investment in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Highwoods Properties is a Sun Belt-focused office REIT trading at an attractive 7.7% dividend yield with well-covered FFO ($3.54 midpoint, 56% payout ratio) and visible near-term growth drivers — projected 200 bps occupancy gain and $50-60M NOI potential across eight buildings by year-end 2026 [1][4]. Q4 2025 leasing activity was strong with 526,000 sq ft leased and a 20% increase in net effective rents, suggesting improving demand in the company's BBD markets [1]. FFO guidance of $3.40-3.68/share (midpoint up 5.7% YoY) indicates the portfolio is stabilizing after post-pandemic headwinds. The 100 ENERGY STAR certified properties and strong ESG profile provide tenant appeal in an increasingly sustainability-conscious corporate real estate market [3].</w:t>
      </w:r>
    </w:p>
    <w:p>
      <w:pPr>
        <w:spacing w:after="120"/>
      </w:pPr>
      <w:r>
        <w:rPr>
          <w:rFonts w:ascii="Calibri" w:hAnsi="Calibri"/>
          <w:b w:val="0"/>
          <w:color w:val="3A4A28"/>
          <w:sz w:val="20"/>
        </w:rPr>
        <w:t>The bear case centers on secular office demand decline and leverage. The post-pandemic shift to remote and hybrid work has structurally reduced office demand, and year-end 2026 occupancy of 87.5% remains below pre-pandemic levels [1]. D/E of 149.2% creates significant interest rate sensitivity — if rates remain elevated, refinancing costs could pressure FFO and dividend coverage [5]. Revenue declined -1.6% YoY, and same-property cash NOI is expected flat for 2026, suggesting the recovery is slow despite positive leasing spreads [1]. The dividend has not grown, with $2.00/share annual payout unchanged, offering no inflation protection to income investors [4]. Forward P/E of 31.4x appears expensive on a P/E basis, though this metric is less relevant for REITs where FFO is the standard measure. Glassdoor reviews citing management's resistance to cultural adaptation raise concerns about the company's ability to evolve as workplace needs change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Projected 200 basis point occupancy gain by year-end 2026 and $50-60M NOI growth across eight buildings, potentially driving FFO above guidance midpoint [1]</w:t>
      </w:r>
    </w:p>
    <w:p>
      <w:pPr>
        <w:spacing w:before="40" w:after="40"/>
        <w:ind w:left="283"/>
      </w:pPr>
      <w:r>
        <w:rPr>
          <w:rFonts w:ascii="Calibri" w:hAnsi="Calibri"/>
          <w:b/>
          <w:color w:val="4A6B25"/>
          <w:sz w:val="20"/>
        </w:rPr>
        <w:t xml:space="preserve">2. </w:t>
      </w:r>
      <w:r>
        <w:rPr>
          <w:rFonts w:ascii="Calibri" w:hAnsi="Calibri"/>
          <w:b w:val="0"/>
          <w:color w:val="3A4A28"/>
          <w:sz w:val="20"/>
        </w:rPr>
        <w:t>Sun Belt migration trends continuing to drive office demand in Raleigh, Nashville, Tampa, and Charlotte — Highwoods' core markets [1]</w:t>
      </w:r>
    </w:p>
    <w:p>
      <w:pPr>
        <w:spacing w:before="40" w:after="40"/>
        <w:ind w:left="283"/>
      </w:pPr>
      <w:r>
        <w:rPr>
          <w:rFonts w:ascii="Calibri" w:hAnsi="Calibri"/>
          <w:b/>
          <w:color w:val="4A6B25"/>
          <w:sz w:val="20"/>
        </w:rPr>
        <w:t xml:space="preserve">3. </w:t>
      </w:r>
      <w:r>
        <w:rPr>
          <w:rFonts w:ascii="Calibri" w:hAnsi="Calibri"/>
          <w:b w:val="0"/>
          <w:color w:val="3A4A28"/>
          <w:sz w:val="20"/>
        </w:rPr>
        <w:t>Interest rate cuts in 2026 could reduce financing costs on the 149.2% D/E capital structure and drive multiple expansion for office REITs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office demand decline from remote/hybrid work — 87.5% occupancy target remains below pre-pandemic norms and recovery may stall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149.2% D/E means elevated rates directly pressure FFO, dividend coverage, and refinancing costs [5]</w:t>
      </w:r>
    </w:p>
    <w:p>
      <w:pPr>
        <w:spacing w:before="40" w:after="40"/>
        <w:ind w:left="283"/>
      </w:pPr>
      <w:r>
        <w:rPr>
          <w:rFonts w:ascii="Calibri" w:hAnsi="Calibri"/>
          <w:b/>
          <w:color w:val="4A6B25"/>
          <w:sz w:val="20"/>
        </w:rPr>
        <w:t xml:space="preserve">3. </w:t>
      </w:r>
      <w:r>
        <w:rPr>
          <w:rFonts w:ascii="Calibri" w:hAnsi="Calibri"/>
          <w:b w:val="0"/>
          <w:color w:val="3A4A28"/>
          <w:sz w:val="20"/>
        </w:rPr>
        <w:t>No dividend growth — flat $2.00/share annual dividend provides no inflation protection and signals limited financial flexibility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Highwoods' office REIT business faces indirect AI disruption risk — AI enables remote work and automation that could reduce office space demand over time, though the company's Sun Belt BBD focus partially mitigates this as these markets are net beneficiaries of population and business migration [1]. Physical real estate cannot be replicated by AI, and long-term leases (typically 5-10 years) provide revenue visibility regardless of near-term disruption. However, AI-driven productivity gains could allow tenants to house the same workforce in less space. AI Opportunity (1/1): AI-powered building management, predictive maintenance, and smart building features could enhance tenant experience and operational efficiency, though Highwoods has not disclosed specific AI initiatives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Highwoods Properties Q4 2025 Earnings Release — $203.4M revenue, 526K sq ft leased, 20% net effective rent increase, FY2026 FFO guidance $3.40-3.68,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Highwoods Properties employee reviews, 3.4/5 culture rating, mixed leadership sentiment,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Highwoods Properties Resiliency Report — 100 ENERGY STAR certifications, 50% female workforce, ESG commitments,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MarketBeat / Nasdaq — Highwoods Properties dividend history, $2.00/share annual, 7.7% yield, 30+ year payment history,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HIW (Highwoods Properties),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