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HLF</w:t>
      </w:r>
      <w:r>
        <w:rPr>
          <w:rFonts w:ascii="Calibri" w:hAnsi="Calibri"/>
          <w:b/>
          <w:color w:val="1A2010"/>
          <w:sz w:val="40"/>
        </w:rPr>
        <w:t xml:space="preserve">  Herbalife Ltd.</w:t>
      </w:r>
    </w:p>
    <w:p>
      <w:pPr>
        <w:spacing w:after="120"/>
      </w:pPr>
      <w:r>
        <w:rPr>
          <w:rFonts w:ascii="Calibri" w:hAnsi="Calibri"/>
          <w:b/>
          <w:color w:val="6E8450"/>
          <w:sz w:val="18"/>
        </w:rPr>
        <w:t>GROWTH SLEEVE · 2026-04-22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Herbalife provides health and wellness products including meal replacements, protein shakes, targeted nutrition supplements, energy and fitness products, and personal care items. The company operates through a direct-selling model with independent distributors in over 90 markets worldwide.</w:t>
      </w:r>
    </w:p>
    <w:p>
      <w:r>
        <w:rPr>
          <w:rFonts w:ascii="Calibri" w:hAnsi="Calibri"/>
          <w:b/>
          <w:color w:val="6E8450"/>
          <w:sz w:val="18"/>
        </w:rPr>
        <w:t>8,500 Employees · https://www.herbalife.com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Herbalife has made incremental product refreshes but no transformative business model pivots in the last 5 years; the core direct-selling nutrition model remains essentially unchanged since the 1980s [1]. AI Deployment (1/2): The company launched a beta AI-assisted Pro2col app and partnered with Atrium to deploy Salesforce Einstein analytics for distributor CRM, showing early-stage AI adoption with no quantified revenue impact yet [2]. Market Share (1/2): Herbalife is a meaningful player in global nutrition with $5B+ annual revenue, but faces intense competition from GNC, Amway, and emerging DTC brands; market share has been relatively flat [1]. Pipeline (1/2): The Cristiano Ronaldo partnership with Pro2col Software ($7.5M investment, 10% equity stake) represents a notable innovation bet on personalized nutrition technology, though the product is still in beta [1]. R&amp;D Intensity (0/1): R&amp;D spending as a percentage of revenue is below industry average for consumer health companies, with the company primarily focused on formulation rather than fundamental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Herbalife's mission to 'make the world healthier and happier' is clear but not distinctive — it could apply to any health and wellness company and lacks the specificity that would differentiate it from peers [4]. Community Impact (1/2): The Herbalife Nutrition Foundation granted $5.12M to 178 organizations in 2022, benefiting 229,000 children worldwide through nutrition programs — meaningful but modest relative to $5B revenue [3]. Employee Retention (0/2): Glassdoor rating of 3.7/5 with 68% recommending the company is adequate but unexceptional; reviews cite tenured senior management blocking promotion paths and skill gaps in leadership, suggesting a retention challenge rather than mission-driven loyalty [2]. Insider Buying (1/2): Insiders hold 5.17% of shares; the Cristiano Ronaldo investment through Pro2col suggests external confidence, but direct insider buying data is limited and executive compensation is primarily equity-based rather than discretionary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Herbalife trades at a deeply discounted forward P/E of 5.3x and PEG of 0.61, reflecting significant market skepticism about the direct-selling model and debt-heavy capital structure [5]. The company has negative stockholders' equity (book value -$4.99) due to aggressive share buybacks, rendering D/E and ROE incalculable — both score 0 in the infrastructure framework. Revenue of $5.04B grew 6.3% YoY but the 5-year CAGR is negative at -1.0%, showing stagnation [1]. Profit margin of 4.5% is thin for a consumer products company with 77.9% gross margins, indicating high SG&amp;A costs inherent to the distributor model. Total debt of $2.18B against $353M cash creates leverage risk. Operating cash flow of $333M and free cash flow of $248M provide adequate near-term liquidity [5]. Liquidity floor easily cleared at $25M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Herbalife under CEO Stephan Gratziani — the first distributor-turned-CEO since founder Mark Hughes — represents an attempt to return to the company's grassroots purpose, but the organization remains focused on quarterly distributor metrics and short-term revenue recovery rather than building enduring competitive advantages.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Herbalife's cause — improving global nutrition through community-based distribution — has elements of a Just Cause but has been undermined by decades of regulatory scrutiny over the MLM model (2016 FTC settlement, $200M fine) [4]. The cause exists but reads more as marketing than a deeply lived organizational principle.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(3.7/5, 68% recommend) indicate adequate but not exceptional trust [2]. Positive comments about encouraging culture are offset by complaints about tenured senior management blocking career paths and lacking skills to drive change. The appointment of Gratziani, a 20-year distributor veteran, as CEO signals some trust in the field organization.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Herbalife acknowledges competitive pressure from both traditional nutrition companies and emerging DTC/AI-powered wellness platforms, using that rivalry to invest in digital transformation (Pro2col app) and celebrity partnerships (Ronaldo). The competitive language focuses on self-improvement rather than destroying rivals.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Herbalife has clung to the direct-selling distribution model for over 40 years despite significant regulatory, reputational, and competitive pressures to evolve. The company has made incremental digital additions (Pro2col app, online ordering) but has not fundamentally reimagined its go-to-market approach. This rigidity is the company's greatest strategic risk. Score: 0/2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Gratziani as CEO was a bold internal move, but there is little evidence of leadership making costly long-term bets or sacrificing short-term results for future capability [1]. The company's recent history has been defined by financial engineering (buybacks funded by debt) rather than strategic reinvestment.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Herbalife trades at a compelling 5.3x forward P/E and 0.61 PEG ratio after Q4 2025 results showed the turnaround gaining traction — net sales of $1.3B grew 6.3% YoY, and full-year adjusted EBITDA of $657.6M exceeded guidance [1]. The 2026 guidance of 1-6% net sales growth, with preliminary Q1 results already above the high end, suggests the recovery trajectory is intact. Free cash flow of $248M supports debt reduction on the $2.18B debt load, and the Cristiano Ronaldo partnership with Pro2col Software brings global brand power to the digital nutrition platform [1]. The stock's deep discount reflects legitimate concerns but also prices in excessive pessimism about the business model's viability.</w:t>
      </w:r>
    </w:p>
    <w:p>
      <w:pPr>
        <w:spacing w:after="120"/>
      </w:pPr>
      <w:r>
        <w:rPr>
          <w:rFonts w:ascii="Calibri" w:hAnsi="Calibri"/>
          <w:b w:val="0"/>
          <w:color w:val="3A4A28"/>
          <w:sz w:val="20"/>
        </w:rPr>
        <w:t>The bear case centers on structural challenges that a low valuation alone cannot resolve. Herbalife's negative book value (negative stockholders' equity from aggressive buybacks) and $2.18B debt create meaningful financial fragility if the turnaround stalls [5]. Revenue has been essentially flat over 5 years (5-year CAGR of -1.0%), and the 4.5% profit margin is thin for a company with 78% gross margins, reflecting the inherent inefficiency of the multi-level distribution model [1]. The direct-selling industry faces secular headwinds from e-commerce disruption, regulatory scrutiny globally, and generational shifts away from MLM models. EPS declined 53% YoY, and while management guidance is cautiously optimistic, the company must prove it can sustain growth beyond a single quarter. The 1-6% 2026 revenue growth guidance range is wide, suggesting management uncertainty about the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Pro2col AI-powered personalized nutrition app moving from beta to full launch, potentially modernizing the distributor toolkit and attracting younger demographics [1]</w:t>
      </w:r>
    </w:p>
    <w:p>
      <w:pPr>
        <w:spacing w:before="40" w:after="40"/>
        <w:ind w:left="283"/>
      </w:pPr>
      <w:r>
        <w:rPr>
          <w:rFonts w:ascii="Calibri" w:hAnsi="Calibri"/>
          <w:b/>
          <w:color w:val="4A6B25"/>
          <w:sz w:val="20"/>
        </w:rPr>
        <w:t xml:space="preserve">2. </w:t>
      </w:r>
      <w:r>
        <w:rPr>
          <w:rFonts w:ascii="Calibri" w:hAnsi="Calibri"/>
          <w:b w:val="0"/>
          <w:color w:val="3A4A28"/>
          <w:sz w:val="20"/>
        </w:rPr>
        <w:t>Cristiano Ronaldo partnership bringing global brand recognition and $7.5M investment, validating Herbalife's pivot toward digital-first engagement [1]</w:t>
      </w:r>
    </w:p>
    <w:p>
      <w:pPr>
        <w:spacing w:before="40" w:after="40"/>
        <w:ind w:left="283"/>
      </w:pPr>
      <w:r>
        <w:rPr>
          <w:rFonts w:ascii="Calibri" w:hAnsi="Calibri"/>
          <w:b/>
          <w:color w:val="4A6B25"/>
          <w:sz w:val="20"/>
        </w:rPr>
        <w:t xml:space="preserve">3. </w:t>
      </w:r>
      <w:r>
        <w:rPr>
          <w:rFonts w:ascii="Calibri" w:hAnsi="Calibri"/>
          <w:b w:val="0"/>
          <w:color w:val="3A4A28"/>
          <w:sz w:val="20"/>
        </w:rPr>
        <w:t>Preliminary Q1 2026 results exceeding guidance, with net sales above the 3-7% growth range and adjusted EBITDA at or above high end of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and $2.18B debt create balance sheet fragility — a sustained revenue decline could trigger covenant concerns and limit financial flexibility [5]</w:t>
      </w:r>
    </w:p>
    <w:p>
      <w:pPr>
        <w:spacing w:before="40" w:after="40"/>
        <w:ind w:left="283"/>
      </w:pPr>
      <w:r>
        <w:rPr>
          <w:rFonts w:ascii="Calibri" w:hAnsi="Calibri"/>
          <w:b/>
          <w:color w:val="4A6B25"/>
          <w:sz w:val="20"/>
        </w:rPr>
        <w:t xml:space="preserve">2. </w:t>
      </w:r>
      <w:r>
        <w:rPr>
          <w:rFonts w:ascii="Calibri" w:hAnsi="Calibri"/>
          <w:b w:val="0"/>
          <w:color w:val="3A4A28"/>
          <w:sz w:val="20"/>
        </w:rPr>
        <w:t>Multi-level distribution model faces secular headwinds from regulatory scrutiny, e-commerce disruption, and declining appeal of MLM to younger generations [4]</w:t>
      </w:r>
    </w:p>
    <w:p>
      <w:pPr>
        <w:spacing w:before="40" w:after="40"/>
        <w:ind w:left="283"/>
      </w:pPr>
      <w:r>
        <w:rPr>
          <w:rFonts w:ascii="Calibri" w:hAnsi="Calibri"/>
          <w:b/>
          <w:color w:val="4A6B25"/>
          <w:sz w:val="20"/>
        </w:rPr>
        <w:t xml:space="preserve">3. </w:t>
      </w:r>
      <w:r>
        <w:rPr>
          <w:rFonts w:ascii="Calibri" w:hAnsi="Calibri"/>
          <w:b w:val="0"/>
          <w:color w:val="3A4A28"/>
          <w:sz w:val="20"/>
        </w:rPr>
        <w:t>Flat 5-year revenue trajectory (-1.0% CAGR) suggests the turnaround is nascent and unproven — one quarter of growth does not establish a durable trend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Herbalife's core business — physical nutrition products sold through human relationships — has meaningful protection against AI disruption. The direct-selling model relies on personal connections and community building that AI cannot easily replicate [2]. However, AI-powered nutrition apps and personalized supplement services (Noom, AI-driven DTC brands) create moderate substitution risk for the product recommendation and coaching aspects of the distributor model. The physical product manufacturing and global distribution infrastructure remain defensible. AI Opportunity (1/1): Herbalife is actively deploying AI through the Pro2col app for personalized nutrition recommendations and Salesforce Einstein for distributor analytics, generating early-stage AI-enhanced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Herbalife Q4 &amp; FY2025 Earnings Release — $1.3B Q4 revenue (6.3% growth), $228.3M net income, $657.6M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Herbalife AI Initiatives — Pro2col beta app, Atrium/Salesforce Einstein deployment, HerbalifeAI platform, 2025-2026</w:t>
      </w:r>
    </w:p>
    <w:p>
      <w:pPr>
        <w:spacing w:before="20" w:after="20"/>
        <w:ind w:left="170"/>
      </w:pPr>
      <w:r>
        <w:rPr>
          <w:rFonts w:ascii="Calibri" w:hAnsi="Calibri"/>
          <w:b/>
          <w:color w:val="4A6B25"/>
          <w:sz w:val="15"/>
        </w:rPr>
        <w:t xml:space="preserve">3. </w:t>
      </w:r>
      <w:r>
        <w:rPr>
          <w:rFonts w:ascii="Calibri" w:hAnsi="Calibri"/>
          <w:b w:val="0"/>
          <w:color w:val="3A4A28"/>
          <w:sz w:val="17"/>
        </w:rPr>
        <w:t>Herbalife Sustainability Report — $5.12M foundation grants, 322 metric tons virgin plastic removed, 2023</w:t>
      </w:r>
    </w:p>
    <w:p>
      <w:pPr>
        <w:spacing w:before="20" w:after="20"/>
        <w:ind w:left="170"/>
      </w:pPr>
      <w:r>
        <w:rPr>
          <w:rFonts w:ascii="Calibri" w:hAnsi="Calibri"/>
          <w:b/>
          <w:color w:val="4A6B25"/>
          <w:sz w:val="15"/>
        </w:rPr>
        <w:t xml:space="preserve">4. </w:t>
      </w:r>
      <w:r>
        <w:rPr>
          <w:rFonts w:ascii="Calibri" w:hAnsi="Calibri"/>
          <w:b w:val="0"/>
          <w:color w:val="3A4A28"/>
          <w:sz w:val="17"/>
        </w:rPr>
        <w:t>Herbalife corporate website and Wikipedia — mission statement, FTC settlement history, leadership changes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HLF,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