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HLN</w:t>
      </w:r>
      <w:r>
        <w:rPr>
          <w:rFonts w:ascii="Calibri" w:hAnsi="Calibri"/>
          <w:b/>
          <w:color w:val="1A2010"/>
          <w:sz w:val="40"/>
        </w:rPr>
        <w:t xml:space="preserve">  Haleon plc</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United Kingdom</w:t>
      </w:r>
    </w:p>
    <w:p>
      <w:pPr>
        <w:spacing w:after="80"/>
      </w:pPr>
      <w:r>
        <w:rPr>
          <w:rFonts w:ascii="Calibri" w:hAnsi="Calibri"/>
          <w:b w:val="0"/>
          <w:color w:val="3A4A28"/>
          <w:sz w:val="20"/>
        </w:rPr>
        <w:t>Haleon is the world's largest pure-play consumer healthcare company, spun off from GSK in 2022. The company manufactures and markets oral health (Sensodyne, Parodontax), pain relief (Advil, Voltaren), vitamins and supplements (Centrum, Emergen-C), respiratory (Theraflu, Flonase), and digestive health (TUMS, ENO) products across 170+ markets worldwide.</w:t>
      </w:r>
    </w:p>
    <w:p>
      <w:r>
        <w:rPr>
          <w:rFonts w:ascii="Calibri" w:hAnsi="Calibri"/>
          <w:b/>
          <w:color w:val="6E8450"/>
          <w:sz w:val="18"/>
        </w:rPr>
        <w:t>24,535 Employees · https://www.haleon.com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Haleon's biggest move was its 2022 separation from GSK, but post-separation the company has relied on established megabrands (Sensodyne, Advil, Centrum) with incremental product extensions rather than transformative launches [1]. Oral Health grew 7.9% organically in FY2025 driven by Sensodyne premiumization, but no new breakthrough products have been introduced [1]. AI Deployment (1/2): Haleon is using conversational AI as a supplementary consumer research tool and deploying AI for predictive quality and risk management in manufacturing, though no AI-powered consumer-facing products have shipped [2]. Market Share (1/2): Haleon holds leading positions in oral health (#1 globally with Sensodyne) and VMS (#1 with Centrum), but faces growing competition from niche personalized health brands and private-label alternatives [1]. Pipeline (1/2): The company's pipeline focuses on premiumization of existing brands and geographic expansion into emerging markets, with GBP 800M in supply chain savings targeted over five years, but lacks specific next-gen product launches with named timelines [1]. R&amp;D Intensity (0/1): R&amp;D spending is below industry average for pharma/healthcare, reflecting the consumer health model's reliance on brand marketing over scientific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Haleon's stated purpose is 'to deliver better everyday health with humanity,' which is clear and identifies the company's domain but does not articulate a truly distinctive or transformative vision — it could apply to any consumer health company [3]. Community Impact (1/2): Haleon joined the UN Global Compact in December 2022 and has committed to 100% reduction in Scope 1 and 2 carbon emissions by 2030, but specific charitable programs and dollar amounts for community investment are not prominently disclosed [3]. Employee Retention (1/2): Glassdoor rating of 3.6/5 with 798 reviews is average; some employees praise competitive benefits and smart colleagues, but reviews cite US leadership speaking disrespectfully, limited psychological safety, and merit-based decisions undermined by relationship-based promotions [2]. Insider Buying (1/2): No evidence of significant net insider buying by CEO Brian McNamara or other executives was found in recent searches; the GBP 500M share buyback program in 2026 signals institutional confidence but is not the same as personal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Haleon's financial profile reflects a stable but slow-growth consumer health business. FY2025 revenue of GBP 11.03B was roughly flat YoY with organic growth of 3.0% [1]. Adjusted operating profit of GBP 2.53B at 22.9% margin demonstrates solid profitability [1]. D/E of 52.4% is conservative, and free cash flow of GBP 1.91B supports the GBP 500M buyback and growing dividend [1]. However, ROE of 10.3% is below the 15% target, revenue growth is anemic at 0.6% reported, and the forward P/E of 16.1x is reasonable [4]. Profit margin of 15.1% is below the 20% target. Haleon pays a dividend but has only 3 years of payment history since its 2022 IPO, falling short of the 5-year threshold for Dividend sleeve classification. Liquidity floor easily cleared: 8.2M avg vol x $9.80 = $80.4M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Haleon is a young public company (2022 IPO) still establishing its independent identity after the GSK separation. The company demonstrates some infinite game characteristics through its focus on long-term brand building and emerging market expansion, but the heavy emphasis on cost savings (GBP 800M target), frequent restructuring, and below-target 2026 guidance suggest a company still balancing near-term financial engineering with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Haleon's purpose of 'delivering better everyday health with humanity' is sincere but shallow — it reads as standard consumer health positioning rather than a transformative vision that would survive decades of testing [3]. The company is only 4 years old as an independent entity and has not yet proven that this purpose drives strategic decisions through crisis or market disruption.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paint a mixed picture — some employees praise smart, kind colleagues and competitive benefits, while others describe US leadership as disrespectful with limited psychological safety and relationship-based promotions rather than merit [2]. The 3.6/5 Glassdoor rating and reports of frequent restructuring and layoffs suggest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Haleon's competitive language focuses on category growth and premiumization rather than defeating specific competitors [1]. The company acknowledges niche personalized health brands as a source of innovation pressure and uses competitive dynamics to drive premiumization strategy, suggesting an improvement-oriented rather than destruction-oriented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company that only became independent in 2022, Haleon has not yet faced an existential strategic test [1]. The business model — selling established consumer health brands through traditional retail channels — is essentially the same model inherited from GSK. The operating model evolution announced in 2026 focuses on efficiency rather than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GBP 500M share buyback and commitment to GBP 800M in supply chain savings show financial discipline, and the 2026 operating model evolution demonstrates willingness to restructure [1]. However, the below-target 2026 guidance of 3-5% organic growth (vs. medium-term target of 4-6%) and reliance on cost savings rather than growth investment suggest prioritizing near-term margins over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Haleon is the world's largest pure-play consumer healthcare company with a portfolio of #1 or #2 brands across oral health (Sensodyne), pain relief (Advil), and vitamins (Centrum) that generate GBP 11B in annual revenue at 22.9% adjusted operating margins [1]. The company's defensive characteristics — essential health products with strong brand loyalty, 64.8% gross margins, conservative 52% D/E ratio, and GBP 1.91B free cash flow — make it a stable compounder. At 16x forward earnings with a growing dividend and GBP 500M buyback, valuation is reasonable for a consumer staples business [4]. The GBP 800M supply chain savings program and emerging market expansion provide a clear path to margin improvement [1].</w:t>
      </w:r>
    </w:p>
    <w:p>
      <w:pPr>
        <w:spacing w:after="120"/>
      </w:pPr>
      <w:r>
        <w:rPr>
          <w:rFonts w:ascii="Calibri" w:hAnsi="Calibri"/>
          <w:b w:val="0"/>
          <w:color w:val="3A4A28"/>
          <w:sz w:val="20"/>
        </w:rPr>
        <w:t>The bear case centers on Haleon's anemic top-line growth — FY2025 revenue was essentially flat at GBP 11.03B, and 2026 guidance of 3-5% organic growth already trails the medium-term 4-6% target [1]. North America organic revenue declined 1% in Q4 2025 as US consumers cut discretionary health purchases, raising questions about pricing power sustainability. ROE of 10.3% is below the 15% standard for quality businesses, reflecting the capital-intensive manufacturing model and brand-maintenance spending inherited from GSK. Competition from private-label alternatives and personalized health startups threatens the premium pricing that supports margins. As a UK-listed company trading as ADRs on NYSE, currency headwinds from GBP/USD fluctuations add volatility to reported results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GBP 800M gross supply chain savings program over five years, with GBP 175-200M in annualized cost savings over the next two years driving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Oral Health segment growing 7.9% organically, driven by Sensodyne premiumization and emerging market penetration that could accelerate total company growth [1]</w:t>
      </w:r>
    </w:p>
    <w:p>
      <w:pPr>
        <w:spacing w:before="40" w:after="40"/>
        <w:ind w:left="283"/>
      </w:pPr>
      <w:r>
        <w:rPr>
          <w:rFonts w:ascii="Calibri" w:hAnsi="Calibri"/>
          <w:b/>
          <w:color w:val="4A6B25"/>
          <w:sz w:val="20"/>
        </w:rPr>
        <w:t xml:space="preserve">3. </w:t>
      </w:r>
      <w:r>
        <w:rPr>
          <w:rFonts w:ascii="Calibri" w:hAnsi="Calibri"/>
          <w:b w:val="0"/>
          <w:color w:val="3A4A28"/>
          <w:sz w:val="20"/>
        </w:rPr>
        <w:t>GBP 500M share buyback program in 2026 reducing share count and supporting EPS growth alongside the growing dividend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consumer softness — North America organic revenue declined 1% in Q4 2025, and the below-target 2026 guidance of 3-5% suggests pricing power erosion in Haleon's largest market [1]</w:t>
      </w:r>
    </w:p>
    <w:p>
      <w:pPr>
        <w:spacing w:before="40" w:after="40"/>
        <w:ind w:left="283"/>
      </w:pPr>
      <w:r>
        <w:rPr>
          <w:rFonts w:ascii="Calibri" w:hAnsi="Calibri"/>
          <w:b/>
          <w:color w:val="4A6B25"/>
          <w:sz w:val="20"/>
        </w:rPr>
        <w:t xml:space="preserve">2. </w:t>
      </w:r>
      <w:r>
        <w:rPr>
          <w:rFonts w:ascii="Calibri" w:hAnsi="Calibri"/>
          <w:b w:val="0"/>
          <w:color w:val="3A4A28"/>
          <w:sz w:val="20"/>
        </w:rPr>
        <w:t>Mild cold/flu seasons reducing Respiratory Health revenue, which declined 12% YoY in FY2025 and is weather-dependent rather than structurally growing [1]</w:t>
      </w:r>
    </w:p>
    <w:p>
      <w:pPr>
        <w:spacing w:before="40" w:after="40"/>
        <w:ind w:left="283"/>
      </w:pPr>
      <w:r>
        <w:rPr>
          <w:rFonts w:ascii="Calibri" w:hAnsi="Calibri"/>
          <w:b/>
          <w:color w:val="4A6B25"/>
          <w:sz w:val="20"/>
        </w:rPr>
        <w:t xml:space="preserve">3. </w:t>
      </w:r>
      <w:r>
        <w:rPr>
          <w:rFonts w:ascii="Calibri" w:hAnsi="Calibri"/>
          <w:b w:val="0"/>
          <w:color w:val="3A4A28"/>
          <w:sz w:val="20"/>
        </w:rPr>
        <w:t>Private-label and personalized health brand competition threatening premium pricing across VMS and OTC categories where switching costs are low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Haleon's core business — manufacturing and selling physical consumer health products like toothpaste (Sensodyne), pain relievers (Advil), and vitamins (Centrum) — is structurally immune to AI disruption [1]. These are physical goods requiring manufacturing infrastructure, regulatory approval, and decades of brand trust that AI cannot replicate or substitute. Consumer purchasing decisions for OTC health products are driven by brand loyalty, pharmacist recommendations, and physical shelf presence, none of which AI threatens [2]. AI Opportunity (0/1): Haleon uses AI internally for consumer research and supply chain optimization, but generates no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Haleon FY2025 Full Year Results — GBP 11.03B revenue, 22.9% adjusted operating margin, GBP 1.91B FCF, February 2026</w:t>
      </w:r>
    </w:p>
    <w:p>
      <w:pPr>
        <w:spacing w:before="20" w:after="20"/>
        <w:ind w:left="170"/>
      </w:pPr>
      <w:r>
        <w:rPr>
          <w:rFonts w:ascii="Calibri" w:hAnsi="Calibri"/>
          <w:b/>
          <w:color w:val="4A6B25"/>
          <w:sz w:val="15"/>
        </w:rPr>
        <w:t xml:space="preserve">2. </w:t>
      </w:r>
      <w:r>
        <w:rPr>
          <w:rFonts w:ascii="Calibri" w:hAnsi="Calibri"/>
          <w:b w:val="0"/>
          <w:color w:val="3A4A28"/>
          <w:sz w:val="17"/>
        </w:rPr>
        <w:t>Haleon AI and Culture Research — Veeva case studies, Glassdoor reviews (3.6/5, 798 reviews), LinkedIn GenAI insights,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Haleon Corporate Website — Purpose statement, ESG commitments, UN Global Compact membership,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HLN key statistics, D/E 52.4%, ROE 10.3%, Forward P/E 16.05,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