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HL</w:t>
      </w:r>
      <w:r>
        <w:rPr>
          <w:rFonts w:ascii="Calibri" w:hAnsi="Calibri"/>
          <w:b/>
          <w:color w:val="1A2010"/>
          <w:sz w:val="40"/>
        </w:rPr>
        <w:t xml:space="preserve">  Hecla Mining Company</w:t>
      </w:r>
    </w:p>
    <w:p>
      <w:pPr>
        <w:spacing w:after="120"/>
      </w:pPr>
      <w:r>
        <w:rPr>
          <w:rFonts w:ascii="Calibri" w:hAnsi="Calibri"/>
          <w:b/>
          <w:color w:val="6E8450"/>
          <w:sz w:val="18"/>
        </w:rPr>
        <w:t>GROWTH SLEEVE · 2026-03-23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Precious Metals &amp; Mining · NYSE · United States</w:t>
      </w:r>
    </w:p>
    <w:p>
      <w:pPr>
        <w:spacing w:after="80"/>
      </w:pPr>
      <w:r>
        <w:rPr>
          <w:rFonts w:ascii="Calibri" w:hAnsi="Calibri"/>
          <w:b w:val="0"/>
          <w:color w:val="3A4A28"/>
          <w:sz w:val="20"/>
        </w:rPr>
        <w:t>Hecla Mining is the largest silver producer in the United States and Canada, operating mines in Idaho, Alaska, and Quebec. The company produced 17 million ounces of silver and generated record revenue of $1.4 billion in 2025, pivoting toward a pure-play silver strategy with the sale of its Casa Berardi gold mine.</w:t>
      </w:r>
    </w:p>
    <w:p>
      <w:r>
        <w:rPr>
          <w:rFonts w:ascii="Calibri" w:hAnsi="Calibri"/>
          <w:b/>
          <w:color w:val="6E8450"/>
          <w:sz w:val="18"/>
        </w:rPr>
        <w:t>1,865 Employees · https://www.hecla.com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Hecla executed a significant strategic pivot by selling Casa Berardi to Orezone Gold for up to $593M, transforming into a silver-focused producer with silver projected to reach 73% of revenue post-sale [1]. The acquisition and successful ramp of Keno Hill to profitability in 2025 also qualifies as a meaningful transformation. AI Deployment (0/2): No evidence of AI deployment or AI-driven operational improvements in mining operations [2]. Market Share (2/2): Hecla is the largest silver producer in the US and Canada, with Lucky Friday posting a record 5.3M oz and Greens Creek producing 8.7M oz in 2025, maintaining dominant domestic share [1]. Pipeline (1/2): Record $55M exploration investment planned for 2026, focused on Nevada brownfield projects, with medium-term target of 20M oz annual silver production, but specific new mine timelines are vague [1]. R&amp;D Intensity (0/1): Mining companies generally have low R&amp;D spend; Hecla's exploration budget of 2-5% of revenue is standard for the sector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Hecla's purpose statement 'Responsible. Safe. Innovative.' is clear but not distinctive — it could apply to any mining company and doesn't articulate a deeper purpose beyond operational excellence [2]. Community Impact (1/2): Hecla provides foundational leadership training emphasizing people-first culture and has 38% female board representation including Board Chair Catherine Boggs, but specific dollar amounts for community investment programs were not found [2]. Employee Retention (1/2): Average management tenure of 4.6 years is reasonable for the mining sector, and Hecla's leadership program focusing on emotional intelligence and coaching suggests investment in retention [2]. Insider Buying (0/2): No evidence of meaningful net insider buying by CEO Krcmarov or other executives in the last 12 months was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Hecla's infrastructure score reflects a company in strong financial recovery. Revenue growth of 79.5% YoY and profit margin of 22.6% demonstrate the earnings power of elevated silver/gold prices [6]. D/E of 11.0% is exceptional, and the company reduced total debt by 50% to $276M with net debt of just $34M [1]. ROE of 13.9% is solid but below the 15% target. Forward P/E of 14.1 is reasonable for a cyclical miner. The high trailing P/E of 35.2 reflects the cyclical trough-to-peak earnings trajectory [6]. Free cash flow of $310M is transformational vs $4M in 2024 [1]. Liquidity floor easily cleared: 24.5M avg vol x $17.24 = $422M daily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Founded in 1891, Hecla demonstrates remarkable longevity and has survived multiple commodity cycles over 135 years. The strategic pivot to silver and record exploration investment suggest long-term thinking, but the mining industry's inherently extractive nature and Hecla's environmental track record create tension with infinite game principles.</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Hecla's 135-year history as a silver producer provides a legacy cause of supplying critical industrial metals, and silver's role in solar energy and electronics gives it a sustainability angle [1]. However, the cause is fundamentally extractive — mining depletes finite resources, which creates an inherent tension with infinite game thinking.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New CEO Rob Krcmarov (appointed November 2024) brings 30+ years of mining experience from Barrick Gold and is building on Hecla's people-first leadership program [2]. Board Chair Catherine Boggs led as interim CEO before Krcmarov's appointment, showing succession planning. The leadership program emphasizing coaching, emotional intelligence, and empowerment suggests investment in trust-building.</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Hecla acknowledges industry peers like First Majestic and Pan American Silver in the silver space, and hired CEO Krcmarov from Barrick Gold, demonstrating willingness to learn from rivals [2]. The $55M record exploration budget for 2026 shows competitive urgency to maintain silver production leadership.</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strategic sale of Casa Berardi gold mine for $593M to pivot toward pure-play silver demonstrates meaningful existential flexibility [1]. Hecla has evolved from a general precious metals miner to a focused silver strategy, anticipating that silver's industrial demand growth (solar, electronics) will outpace gold's traditional safe-haven role.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Hecla's record $55M exploration investment in 2026 shows conviction in long-term growth [1]. However, the company's environmental controversies — $263M Bunker Hill Superfund settlement, Greens Creek hazardous waste violations, and Lucky Friday Clean Water Act violations — undermine its credibility as a responsible industry leader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Hecla delivered transformational 2025 results: record $1.4B revenue (up 53%), $310M free cash flow (vs $4M prior year), and net debt reduced to just $34M [1]. The strategic pivot to silver (73% of revenue post-Casa Berardi sale) positions Hecla as the premier North American silver pure-play at a time when industrial silver demand is surging from solar panels, electronics, and data center infrastructure [1]. With Lucky Friday at record production, Greens Creek at AISC under negative $2/oz after by-product credits, and Keno Hill achieving first full-year profitability, the operational portfolio is firing on all cylinders. Forward P/E of 14.1x with near-zero net leverage offers a margin of safety [6].</w:t>
      </w:r>
    </w:p>
    <w:p>
      <w:pPr>
        <w:spacing w:after="120"/>
      </w:pPr>
      <w:r>
        <w:rPr>
          <w:rFonts w:ascii="Calibri" w:hAnsi="Calibri"/>
          <w:b w:val="0"/>
          <w:color w:val="3A4A28"/>
          <w:sz w:val="20"/>
        </w:rPr>
        <w:t>The bear case centers on commodity price dependence — silver at $54/oz and gold at $3,818/oz in Q4 2025 are at historical highs, and any meaningful price correction would compress Hecla's margins significantly [1]. 2026 silver production guidance of 15.1-16.5M oz is actually a step down from 2025's 17M oz as the portfolio transitions post-Casa Berardi sale. Hecla's environmental track record — including the $263M Bunker Hill Superfund settlement, 1,500+ spills at Greens Creek, and Clean Water Act violations at Lucky Friday — creates ongoing regulatory and reputational risk [3]. The high trailing P/E of 35.2x suggests the market has already priced in the earnings improvement.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Silver price remaining above $40/oz driven by industrial demand from solar and electronics, supporting $1B+ annual revenue</w:t>
      </w:r>
    </w:p>
    <w:p>
      <w:pPr>
        <w:spacing w:before="40" w:after="40"/>
        <w:ind w:left="283"/>
      </w:pPr>
      <w:r>
        <w:rPr>
          <w:rFonts w:ascii="Calibri" w:hAnsi="Calibri"/>
          <w:b/>
          <w:color w:val="4A6B25"/>
          <w:sz w:val="20"/>
        </w:rPr>
        <w:t xml:space="preserve">2. </w:t>
      </w:r>
      <w:r>
        <w:rPr>
          <w:rFonts w:ascii="Calibri" w:hAnsi="Calibri"/>
          <w:b w:val="0"/>
          <w:color w:val="3A4A28"/>
          <w:sz w:val="20"/>
        </w:rPr>
        <w:t>Casa Berardi sale closing in Q1 2026 for up to $593M, completing the silver-focused strategic transformation</w:t>
      </w:r>
    </w:p>
    <w:p>
      <w:pPr>
        <w:spacing w:before="40" w:after="40"/>
        <w:ind w:left="283"/>
      </w:pPr>
      <w:r>
        <w:rPr>
          <w:rFonts w:ascii="Calibri" w:hAnsi="Calibri"/>
          <w:b/>
          <w:color w:val="4A6B25"/>
          <w:sz w:val="20"/>
        </w:rPr>
        <w:t xml:space="preserve">3. </w:t>
      </w:r>
      <w:r>
        <w:rPr>
          <w:rFonts w:ascii="Calibri" w:hAnsi="Calibri"/>
          <w:b w:val="0"/>
          <w:color w:val="3A4A28"/>
          <w:sz w:val="20"/>
        </w:rPr>
        <w:t>Medium-term production target of 20M oz silver annually as Keno Hill ramps toward commercial production by 2027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Silver and gold price correction from current highs ($54/oz silver, $3,818/oz gold) would compress margins rapidly given mining cost structure</w:t>
      </w:r>
    </w:p>
    <w:p>
      <w:pPr>
        <w:spacing w:before="40" w:after="40"/>
        <w:ind w:left="283"/>
      </w:pPr>
      <w:r>
        <w:rPr>
          <w:rFonts w:ascii="Calibri" w:hAnsi="Calibri"/>
          <w:b/>
          <w:color w:val="4A6B25"/>
          <w:sz w:val="20"/>
        </w:rPr>
        <w:t xml:space="preserve">2. </w:t>
      </w:r>
      <w:r>
        <w:rPr>
          <w:rFonts w:ascii="Calibri" w:hAnsi="Calibri"/>
          <w:b w:val="0"/>
          <w:color w:val="3A4A28"/>
          <w:sz w:val="20"/>
        </w:rPr>
        <w:t>2026 silver production guidance of 15.1-16.5M oz represents a temporary decline from 2025's 17M oz during portfolio transition</w:t>
      </w:r>
    </w:p>
    <w:p>
      <w:pPr>
        <w:spacing w:before="40" w:after="40"/>
        <w:ind w:left="283"/>
      </w:pPr>
      <w:r>
        <w:rPr>
          <w:rFonts w:ascii="Calibri" w:hAnsi="Calibri"/>
          <w:b/>
          <w:color w:val="4A6B25"/>
          <w:sz w:val="20"/>
        </w:rPr>
        <w:t xml:space="preserve">3. </w:t>
      </w:r>
      <w:r>
        <w:rPr>
          <w:rFonts w:ascii="Calibri" w:hAnsi="Calibri"/>
          <w:b w:val="0"/>
          <w:color w:val="3A4A28"/>
          <w:sz w:val="20"/>
        </w:rPr>
        <w:t>Ongoing environmental liability risk from historical contamination at Bunker Hill, Greens Creek, and Lucky Friday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Silver and gold mining is a physical-world operation involving underground extraction, processing, and refining that AI structurally cannot displace [1]. Silver demand is actually increasing due to AI infrastructure — solar panels, electronics, and data center components all require silver, making Hecla a beneficiary of AI expansion [1]. The mining sector faces zero substitution risk from AI. AI Opportunity (0/1): Hecla does not generate AI-related revenue, though increasing industrial silver demand from electronics and solar is an indirect tailwind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Hecla Mining Q4/Full Year 2025 Results and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Hecla Mining CEO appointment, leadership culture, and sustainability reports, 2024-2025</w:t>
      </w:r>
    </w:p>
    <w:p>
      <w:pPr>
        <w:spacing w:before="20" w:after="20"/>
        <w:ind w:left="170"/>
      </w:pPr>
      <w:r>
        <w:rPr>
          <w:rFonts w:ascii="Calibri" w:hAnsi="Calibri"/>
          <w:b/>
          <w:color w:val="4A6B25"/>
          <w:sz w:val="15"/>
        </w:rPr>
        <w:t xml:space="preserve">3. </w:t>
      </w:r>
      <w:r>
        <w:rPr>
          <w:rFonts w:ascii="Calibri" w:hAnsi="Calibri"/>
          <w:b w:val="0"/>
          <w:color w:val="3A4A28"/>
          <w:sz w:val="17"/>
        </w:rPr>
        <w:t>EPA enforcement actions — Bunker Hill Superfund, Greens Creek hazardous waste, Lucky Friday CWA violations</w:t>
      </w:r>
    </w:p>
    <w:p>
      <w:pPr>
        <w:spacing w:before="20" w:after="20"/>
        <w:ind w:left="170"/>
      </w:pPr>
      <w:r>
        <w:rPr>
          <w:rFonts w:ascii="Calibri" w:hAnsi="Calibri"/>
          <w:b/>
          <w:color w:val="4A6B25"/>
          <w:sz w:val="15"/>
        </w:rPr>
        <w:t xml:space="preserve">4. </w:t>
      </w:r>
      <w:r>
        <w:rPr>
          <w:rFonts w:ascii="Calibri" w:hAnsi="Calibri"/>
          <w:b w:val="0"/>
          <w:color w:val="3A4A28"/>
          <w:sz w:val="17"/>
        </w:rPr>
        <w:t>Hecla Mining November 2025 Investor Update presentation</w:t>
      </w:r>
    </w:p>
    <w:p>
      <w:pPr>
        <w:spacing w:before="20" w:after="20"/>
        <w:ind w:left="170"/>
      </w:pPr>
      <w:r>
        <w:rPr>
          <w:rFonts w:ascii="Calibri" w:hAnsi="Calibri"/>
          <w:b/>
          <w:color w:val="4A6B25"/>
          <w:sz w:val="15"/>
        </w:rPr>
        <w:t xml:space="preserve">5. </w:t>
      </w:r>
      <w:r>
        <w:rPr>
          <w:rFonts w:ascii="Calibri" w:hAnsi="Calibri"/>
          <w:b w:val="0"/>
          <w:color w:val="3A4A28"/>
          <w:sz w:val="17"/>
        </w:rPr>
        <w:t>Insider Monkey — Hecla Mining record revenue analysis,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HL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