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HMC</w:t>
      </w:r>
      <w:r>
        <w:rPr>
          <w:rFonts w:ascii="Calibri" w:hAnsi="Calibri"/>
          <w:b/>
          <w:color w:val="1A2010"/>
          <w:sz w:val="40"/>
        </w:rPr>
        <w:t xml:space="preserve">  Honda Motor Company, Ltd.</w:t>
      </w:r>
    </w:p>
    <w:p>
      <w:pPr>
        <w:spacing w:after="120"/>
      </w:pPr>
      <w:r>
        <w:rPr>
          <w:rFonts w:ascii="Calibri" w:hAnsi="Calibri"/>
          <w:b/>
          <w:color w:val="6E8450"/>
          <w:sz w:val="18"/>
        </w:rPr>
        <w:t>DIVIDEND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Japan</w:t>
      </w:r>
    </w:p>
    <w:p>
      <w:pPr>
        <w:spacing w:after="80"/>
      </w:pPr>
      <w:r>
        <w:rPr>
          <w:rFonts w:ascii="Calibri" w:hAnsi="Calibri"/>
          <w:b w:val="0"/>
          <w:color w:val="3A4A28"/>
          <w:sz w:val="20"/>
        </w:rPr>
        <w:t>Honda Motor Co., Ltd. develops, manufactures, and distributes motorcycles, automobiles, power products, and aircraft globally. Operating through Motorcycle, Automobile, Financial Services, and Power Product segments, Honda is the world's largest motorcycle manufacturer and a major global automaker with operations spanning Japan, North America, Europe, and Asia.</w:t>
      </w:r>
    </w:p>
    <w:p>
      <w:r>
        <w:rPr>
          <w:rFonts w:ascii="Calibri" w:hAnsi="Calibri"/>
          <w:b/>
          <w:color w:val="6E8450"/>
          <w:sz w:val="18"/>
        </w:rPr>
        <w:t>194,173 Employees · https://www.honda.co.jp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Honda has executed meaningful pivots including the HondaJet aircraft program, the launch of the Honda e: architecture for EVs, and the 0 Series EV platform announced for 2026 launch, representing substantive new product categories beyond its ICE core [1]. However, Honda's EV transition has lagged competitors like Toyota's hybrid dominance and BYD's BEV scale. AI Deployment (1/2): Honda is actively deploying AI through American Honda's generative AI initiatives under CIO Bob Brizendine, using AI for manufacturing optimization, supply chain management, and customer experience — though no specific revenue or savings figures have been quantified publicly [2]. Market Share Leadership (1/2): Honda holds meaningful global share in motorcycles (world's largest manufacturer) and is a top-10 automaker, but has lost ground in the EV transition and faces intensifying competition from Chinese manufacturers in key Asian markets [1]. Product Pipeline (1/2): The 0 Series EV platform has specific 2026 launch timelines and Honda's partnership with GM (now restructured) provides some visibility, though the pivot away from the GM partnership introduces execution risk. R&amp;D Intensity (1/1): Honda's R&amp;D spending as a percentage of revenue (~5.5%) is above industry average for automakers, reflecting investment in EV, hydrogen, and autonomous driving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Honda's founding philosophy — 'The Power of Dreams' — is specific, distinctive, and has guided the company from motorcycles to automobiles to aircraft to robotics over 80 years. The mission connects products to human aspiration and freedom of mobility, and has been validated by decades of diversified innovation. It falls short of a perfect 4 only because recent strategic execution (EV delays, GM partnership dissolution) has somewhat disconnected the mission from current reality [1]. Community &amp; Charitable Impact (1/2): Honda has a history of community engagement through environmental initiatives since the 1960s and publishes comprehensive ESG reports detailing social contribution activities, though specific dollar amounts for charitable programs are not prominently disclosed [3]. Employee Retention &amp; Tenure (0/2): Glassdoor reviews for American Honda show a concerning 2.9/5 work-life balance rating and 3.1/5 culture score, with reports of respected top management departing due to cultural deterioration in recent years [2]. Insider Buying (1/2): Management share ownership is modest but stable; no significant net insider buying or selling activity reported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Honda's infrastructure scores well on valuation and dividend consistency but is dragged down by thin profit margins typical of automakers. Debt-to-equity of 106% is manageable for a capital-intensive manufacturer with a large financial services subsidiary [1]. ROE of 4.3% is well below the 15% target, reflecting margin compression from the EV transition investment cycle and earnings that declined 41.2% YoY. The forward P/E of 4.9x is exceptionally cheap, pricing in substantial pessimism. Revenue declined 3.4% YoY amid yen fluctuations and volume softness, though 5-year CAGR remains positive at approximately 4% [1]. Profit margin of 2.3% is structurally thin for the auto industry. Honda's dividend history is strong with 20+ consecutive years paid, growing from ~$0.39/semi in 2021 to ~$0.71 in 2025, representing approximately 12% 5-year CAGR, though the 55% payout ratio is elevated given cyclical earnings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Honda exhibits a mixed infinite-game mindset. The company's 80-year heritage and founder Soichiro Honda's 'Power of Dreams' philosophy provide a genuine just cause that has guided diversification from motorcycles to automobiles to aircraft. However, recent strategic missteps — the failed GM EV partnership, slow EV transition, and deteriorating employee culture scores — suggest the company is struggling to maintain its infinite orientation amid intense competitive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Honda's 'Power of Dreams' philosophy, established by founder Soichiro Honda, represents a genuine just cause that has guided the company through multiple industry transformations over 80 years — from motorcycles to automobiles to robots (ASIMO) to aircraft (HondaJet) [1]. The vision of advancing human mobility and aspiration is specific, enduring, and has demonstrably shaped strategic decisions. However, the just cause has been partially diluted by recent reactive strategic shifts (GM partnership reversal, EV timeline delays) that appear driven by competitive pressure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deteriorating trust environment at Honda. Glassdoor reviews indicate respected top management has been departing in recent years, with culture scores of 3.1/5 and work-life balance at 2.9/5 for American Honda [2]. Employee reviews describe growing organizational dysfunction and cultural erosion, suggesting the Circle of Safety has weakened significantly. For a company that historically prided itself on an empowering 'waigaya' (open debate) culture, this decline is concerning.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Honda has historically demonstrated an infinite competitive mindset, using Toyota's hybrid dominance and Tesla's EV leadership as motivation to improve rather than to 'win.' Management commentary acknowledges competitors' strengths and frames competitive dynamics as catalysts for Honda's own innovation, consistent with Sinek's worthy rival concept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Honda has demonstrated incremental strategic flexibility through its diversification from motorcycles into automobiles, power products, and aviation (HondaJet), and its recent pivot toward the 0 Series EV platform [1]. However, the company has not executed a truly transformative pivot — the GM EV partnership dissolution and subsequent solo EV strategy shift represent reactive adaptation rather than a bold, purpose-driven reinvention. Honda's EV transition lags the industry leaders.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Toshihiro Mibe has shown some courage by dissolving the GM EV partnership and committing to an independent EV platform development despite the higher cost and risk [1]. The decision to invest ¥5 trillion in electrification through 2030 while maintaining the dividend represents a meaningful long-term bet. However, Honda's operating profit forecast of ¥550B for FY2026 (unchanged) suggests conservative management rather than transformative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Honda trades at an exceptionally compressed 4.9x forward earnings with a 5.7% dividend yield that has grown at a 12% 5-year CAGR, offering deep value in a globally diversified industrial franchise with 194,000 employees and a dominant motorcycle business [1]. The 0 Series EV platform launching in 2026, ¥5 trillion electrification investment through 2030, and world-leading motorcycle franchise provide multiple levers for earnings recovery. Honda's brand equity, manufacturing scale across four continents, and financial services subsidiary create a diversified revenue base that pure-play EV competitors lack.</w:t>
      </w:r>
    </w:p>
    <w:p>
      <w:pPr>
        <w:spacing w:after="120"/>
      </w:pPr>
      <w:r>
        <w:rPr>
          <w:rFonts w:ascii="Calibri" w:hAnsi="Calibri"/>
          <w:b w:val="0"/>
          <w:color w:val="3A4A28"/>
          <w:sz w:val="20"/>
        </w:rPr>
        <w:t>The bear case centers on Honda's structural margin weakness (2.3% net margin) in an industry facing simultaneous EV transition costs, tariff headwinds, and intensifying Chinese competition [1]. Earnings declined 41.2% YoY, and the dissolution of the GM EV partnership forces Honda to bear the full cost of EV platform development alone. The 55% payout ratio looks stretched against declining earnings, and ROE of 4.3% suggests capital is being deployed at returns well below cost of equity. If autonomous driving and mobility-as-a-service platforms reduce private vehicle ownership, Honda's automobile volume could face secular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0 Series EV platform launch in 2026 with purpose-built architecture that could leapfrog Honda's current EV competitiveness gap versus Chinese and Korean competitors</w:t>
      </w:r>
    </w:p>
    <w:p>
      <w:pPr>
        <w:spacing w:before="40" w:after="40"/>
        <w:ind w:left="283"/>
      </w:pPr>
      <w:r>
        <w:rPr>
          <w:rFonts w:ascii="Calibri" w:hAnsi="Calibri"/>
          <w:b/>
          <w:color w:val="4A6B25"/>
          <w:sz w:val="20"/>
        </w:rPr>
        <w:t xml:space="preserve">2. </w:t>
      </w:r>
      <w:r>
        <w:rPr>
          <w:rFonts w:ascii="Calibri" w:hAnsi="Calibri"/>
          <w:b w:val="0"/>
          <w:color w:val="3A4A28"/>
          <w:sz w:val="20"/>
        </w:rPr>
        <w:t>Motorcycle business resilience and global market leadership, particularly in Southeast Asia and India, providing earnings stability and cash flow to fund the EV transition</w:t>
      </w:r>
    </w:p>
    <w:p>
      <w:pPr>
        <w:spacing w:before="40" w:after="40"/>
        <w:ind w:left="283"/>
      </w:pPr>
      <w:r>
        <w:rPr>
          <w:rFonts w:ascii="Calibri" w:hAnsi="Calibri"/>
          <w:b/>
          <w:color w:val="4A6B25"/>
          <w:sz w:val="20"/>
        </w:rPr>
        <w:t xml:space="preserve">3. </w:t>
      </w:r>
      <w:r>
        <w:rPr>
          <w:rFonts w:ascii="Calibri" w:hAnsi="Calibri"/>
          <w:b w:val="0"/>
          <w:color w:val="3A4A28"/>
          <w:sz w:val="20"/>
        </w:rPr>
        <w:t>Potential U.S. tariff policy changes that could benefit Honda's substantial North American manufacturing base relative to import-dependent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Chinese EV competition in Southeast Asia and Europe threatens Honda's traditional markets, where BYD and other Chinese OEMs offer lower-priced alternatives with competitive technology</w:t>
      </w:r>
    </w:p>
    <w:p>
      <w:pPr>
        <w:spacing w:before="40" w:after="40"/>
        <w:ind w:left="283"/>
      </w:pPr>
      <w:r>
        <w:rPr>
          <w:rFonts w:ascii="Calibri" w:hAnsi="Calibri"/>
          <w:b/>
          <w:color w:val="4A6B25"/>
          <w:sz w:val="20"/>
        </w:rPr>
        <w:t xml:space="preserve">2. </w:t>
      </w:r>
      <w:r>
        <w:rPr>
          <w:rFonts w:ascii="Calibri" w:hAnsi="Calibri"/>
          <w:b w:val="0"/>
          <w:color w:val="3A4A28"/>
          <w:sz w:val="20"/>
        </w:rPr>
        <w:t>EV transition execution risk after GM partnership dissolution, with Honda bearing full R&amp;D costs for the 0 Series platform against competitors with more advanced EV architectures</w:t>
      </w:r>
    </w:p>
    <w:p>
      <w:pPr>
        <w:spacing w:before="40" w:after="40"/>
        <w:ind w:left="283"/>
      </w:pPr>
      <w:r>
        <w:rPr>
          <w:rFonts w:ascii="Calibri" w:hAnsi="Calibri"/>
          <w:b/>
          <w:color w:val="4A6B25"/>
          <w:sz w:val="20"/>
        </w:rPr>
        <w:t xml:space="preserve">3. </w:t>
      </w:r>
      <w:r>
        <w:rPr>
          <w:rFonts w:ascii="Calibri" w:hAnsi="Calibri"/>
          <w:b w:val="0"/>
          <w:color w:val="3A4A28"/>
          <w:sz w:val="20"/>
        </w:rPr>
        <w:t>Structural margin compression from simultaneous investment in EV, autonomous driving, and hydrogen technologies while defending legacy ICE and hybrid businesses against declining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Honda's core automobile manufacturing business involves physical-world operations that AI cannot directly replace, providing a base level of protection. However, the automotive industry faces significant AI-driven disruption through autonomous driving technology (where Honda lags Waymo, Tesla, and Chinese competitors), software-defined vehicles that shift value from hardware to software, and AI-optimized manufacturing from competitors that could compress Honda's cost advantages [2]. The shift toward mobility-as-a-service platforms powered by AI could reduce private vehicle ownership over time. Honda Xcelerator Ventures invests in AI and robotics startups, and the company is deploying generative AI internally, but these are defensive adaptations rather than offensive positions [2]. AI Opportunity (0/1): Honda does not generate meaningful revenue from AI products or services. Its AI investments are internal efficiency tools and venture investments, not revenue-generating AI products shipping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Honda Motor Co. FY2026 Financial Results and Operating Profit Forecast, Honda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American Honda Motor Glassdoor Reviews and CIO Bob Brizendine AI Strategy, CIO.com, 2025</w:t>
      </w:r>
    </w:p>
    <w:p>
      <w:pPr>
        <w:spacing w:before="20" w:after="20"/>
        <w:ind w:left="170"/>
      </w:pPr>
      <w:r>
        <w:rPr>
          <w:rFonts w:ascii="Calibri" w:hAnsi="Calibri"/>
          <w:b/>
          <w:color w:val="4A6B25"/>
          <w:sz w:val="15"/>
        </w:rPr>
        <w:t xml:space="preserve">3. </w:t>
      </w:r>
      <w:r>
        <w:rPr>
          <w:rFonts w:ascii="Calibri" w:hAnsi="Calibri"/>
          <w:b w:val="0"/>
          <w:color w:val="3A4A28"/>
          <w:sz w:val="17"/>
        </w:rPr>
        <w:t>Honda ESG Report 2025, Honda Global Corporate Website, June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