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HMY</w:t>
      </w:r>
      <w:r>
        <w:rPr>
          <w:rFonts w:ascii="Calibri" w:hAnsi="Calibri"/>
          <w:b/>
          <w:color w:val="1A2010"/>
          <w:sz w:val="40"/>
        </w:rPr>
        <w:t xml:space="preserve">  Harmony Gold Mining Company Limited</w:t>
      </w:r>
    </w:p>
    <w:p>
      <w:pPr>
        <w:spacing w:after="120"/>
      </w:pPr>
      <w:r>
        <w:rPr>
          <w:rFonts w:ascii="Calibri" w:hAnsi="Calibri"/>
          <w:b/>
          <w:color w:val="6E8450"/>
          <w:sz w:val="18"/>
        </w:rPr>
        <w:t>DIVIDEND SLEEVE · 2026-03-31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South Africa</w:t>
      </w:r>
    </w:p>
    <w:p>
      <w:pPr>
        <w:spacing w:after="80"/>
      </w:pPr>
      <w:r>
        <w:rPr>
          <w:rFonts w:ascii="Calibri" w:hAnsi="Calibri"/>
          <w:b w:val="0"/>
          <w:color w:val="3A4A28"/>
          <w:sz w:val="20"/>
        </w:rPr>
        <w:t>Harmony Gold Mining explores, extracts, and processes gold, uranium, silver, and copper across nine underground operations in South Africa's Witwatersrand Basin, the Hidden Valley open-pit mine in Papua New Guinea, and copper development projects in Australia. Founded in 1950 and headquartered in Randfontein, Harmony is transforming from a pure gold producer into a diversified gold-copper mining company with the CSA Copper Mine acquisition and $1.55B Eva Copper project.</w:t>
      </w:r>
    </w:p>
    <w:p>
      <w:r>
        <w:rPr>
          <w:rFonts w:ascii="Calibri" w:hAnsi="Calibri"/>
          <w:b/>
          <w:color w:val="6E8450"/>
          <w:sz w:val="18"/>
        </w:rPr>
        <w:t>34,350 Employees · https://www.harmony.co.za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Harmony has executed a transformative strategic pivot from pure gold mining to a diversified gold-copper company, acquiring the CSA Copper Mine in Australia and approving the $1.55B Eva Copper project — management targets copper contributing 40% of production by 2035 [1][2]. This represents genuine business model transformation in a traditionally conservative industry. AI Deployment (0/2): No evidence of AI-powered products, services, or quantified AI-driven operational efficiencies. Innovation focus is on operational excellence, biomining, and renewable energy rather than artificial intelligence [2]. Market Share (1/2): Harmony is the largest gold producer in South Africa and a meaningful mid-tier global producer, but it does not lead or define the gold mining category globally — Newmont, Barrick, and Agnico Eagle are larger [1]. Pipeline (2/2): The $1.55B Eva Copper project in Queensland with specific timelines, the Wafi-Golpu gold-copper project in PNG, and the CSA ramp-up provide clear multi-year production growth visibility [1][2]. R&amp;D Intensity (0/1): Mining R&amp;D is primarily operational — no evidence of above-industry-average research spending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Harmony's 'mining with purpose' ethos is specific and thoughtful, connecting mining operations to community upliftment, sustainability, and long-term economic development in host regions [2]. New CEO Beyers Nel (24-year mining veteran, with Harmony since 2003) has articulated this vision through the copper diversification strategy and ESG integration. Community Impact (2/2): Significant community investment through the Mine Waste Solutions program rehabilitating tailings near communities, employment of 34,350 workers with direct socioeconomic impact in rural South Africa, and the Kareerand tailings facility built to Global Industry Standards covering 900 hectares [3]. Employee Retention (0/2): No specific retention or tenure data available. Gold mining in South Africa faces structural labor challenges including illegal mining threats and deep-level mining hazards [3]. Insider Buying (0/2): No evidence of meaningful net insider buying by executives in the last 12 months found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Harmony's financial profile is strong, benefiting from elevated gold prices. H1 FY2026 revenue grew 20% to R44.4B with EBITDA up 39% to R18B and net profit increasing 24% to R9.8B [1]. D/E of 25.5% is exceptionally conservative for a mining company, ROE of 33.5% well exceeds the 15% target, and profit margin of 20.1% hits the target [4]. Forward P/E of 4.8x is extremely low, reflecting gold mining's cyclical discount. The payout ratio of 14.6% is sustainable but dividend history is inconsistent — consecutive years paid is approximately 5 (since 2021) with inconsistent growth (decline from 2024 to 2025) [4]. Revenue growth 5yr CAGR of approximately 12% in ZAR terms is strong. Cash from operations rose 55% to $417.9M in H1, though capex surged 92.5% to $244.9M for growth projects [1]. Liquidity floor cleared: 5.3M avg vol × $15.37 = $81.3M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Harmony Gold's 75-year operating history in one of the world's most challenging mining jurisdictions demonstrates institutional endurance. The 'mining with purpose' philosophy and copper diversification strategy show long-term thinking, but the company's history of volatile dividends, production challenges (9% decline in H1 FY2026), and dependence on gold price cycles create a mixed infinite game picture. New CEO Beyers Nel brings operational continuity as a 20+ year insider.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Harmony's 'mining with purpose' ethos — connecting resource extraction to community development, job creation, and sustainable economic growth in South Africa — is genuine and validated by 75 years of continuous operation through apartheid, democratic transition, and multiple commodity cycles [2][3]. The pivot to copper driven by 'resilience through commodity cycles' aligns purpose with strategy. However, the cause is fundamentally tied to profitable extraction, which Sinek would note serves shareholders and communities simultaneously rather than representing a transformative vision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Beyers Nel's appointment as CEO after 22 years at Harmony (joined 2003), alongside deputy CEO Floyd Masemula, represents the strongest possible signal of internal trust — promoting from within rather than bringing in outsiders [2]. The 34,350 employees in deep-level gold mining face inherently dangerous work, and Harmony's safety programs and community programs demonstrate organizational care. However, illegal mining threats and the structural challenges of South African labor relations create trust barriers beyond management's control (1 pt).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Harmony's strategic language focuses on becoming a 'diversified gold-copper company' to improve resilience, but there is limited evidence of explicitly acknowledging competitors' strengths as motivation for self-improvement. The competitive framing is about Harmony's own transformation rather than learning from Newmont, Barrick, or Agnico Eagle [2]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strategic transformation from pure gold producer to diversified gold-copper company — with the CSA acquisition, $1.55B Eva Copper project, and target of 40% copper production by 2035 — represents meaningful business model evolution driven by the need for commodity cycle resilience [1][2]. This is a significant multi-billion-dollar bet on a new commodity. However, gold remains the core business and the copper pivot, while bold, is diversification rather than full reinvention (1 pt).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Approving the $1.55B Eva Copper project in Australia represents a bold long-term capital commitment for a mid-tier miner, and the willingness to acknowledge that CSA Copper requires 'strategic rethink and capital injection' shows transparency [2]. However, heavy investment in growth capex (up 92.5% in H1) while gold production declined 9% creates near-term execution risk that management is accepting for long-term diversification (0 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Harmony Gold is a rare combination of value and strategic transformation. Trading at just 4.8x forward earnings with 33.5% ROE, 20% profit margins, and only 25.5% D/E, Harmony offers deep value in a sector benefiting from elevated gold prices [4]. H1 FY2026 revenue grew 20% to R44.4B with EBITDA surging 39% and operating cash flow rising 55% to $417.9M [1]. The copper diversification strategy — CSA acquisition plus $1.55B Eva Copper project targeting 40% of production by 2035 — positions Harmony as a beneficiary of AI-driven copper demand (data center wiring and cooling). The 2.83% dividend yield with a sustainable 14.6% payout ratio provides income while retaining capital for growth projects [4]. CEO Beyers Nel's 22 years at the company ensures strategic continuity.</w:t>
      </w:r>
    </w:p>
    <w:p>
      <w:pPr>
        <w:spacing w:after="120"/>
      </w:pPr>
      <w:r>
        <w:rPr>
          <w:rFonts w:ascii="Calibri" w:hAnsi="Calibri"/>
          <w:b w:val="0"/>
          <w:color w:val="3A4A28"/>
          <w:sz w:val="20"/>
        </w:rPr>
        <w:t>The bear case centers on gold price dependence, execution risk, and South African operational challenges. H1 FY2026 gold production declined 9% YoY with underground recovered grades falling 11% to 5.7 g/t, driving all-in sustaining costs higher to $2,115/oz [1]. The company's profitability is heavily leveraged to the gold price — a sustained decline below $2,000/oz would compress margins significantly. The $1.55B Eva Copper and CSA ramp-up represent substantial capital commitments ($244.9M capex in H1, up 92.5%) that must execute on time and budget in a capital-intensive industry with a history of cost overruns. South African operations face structural challenges including illegal mining, unreliable electricity supply (Eskom), and currency volatility (ZAR/USD). Dividend history is inconsistent — Harmony paid no dividends from 2014-2020 and 2025 declared dividend ($0.12) was below 2024 ($0.13), undermining the dividend growth narrative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resilience above $2,500/oz driving record profitability — Harmony's leverage to gold price means every $100/oz increase flows almost directly to earnings and cash flow [1]</w:t>
      </w:r>
    </w:p>
    <w:p>
      <w:pPr>
        <w:spacing w:before="40" w:after="40"/>
        <w:ind w:left="283"/>
      </w:pPr>
      <w:r>
        <w:rPr>
          <w:rFonts w:ascii="Calibri" w:hAnsi="Calibri"/>
          <w:b/>
          <w:color w:val="4A6B25"/>
          <w:sz w:val="20"/>
        </w:rPr>
        <w:t xml:space="preserve">2. </w:t>
      </w:r>
      <w:r>
        <w:rPr>
          <w:rFonts w:ascii="Calibri" w:hAnsi="Calibri"/>
          <w:b w:val="0"/>
          <w:color w:val="3A4A28"/>
          <w:sz w:val="20"/>
        </w:rPr>
        <w:t>$1.55B Eva Copper project approval and CSA ramp-up positioning Harmony as a gold-copper producer with 40% copper production by 2035, benefiting from AI-driven copper demand [1][2]</w:t>
      </w:r>
    </w:p>
    <w:p>
      <w:pPr>
        <w:spacing w:before="40" w:after="40"/>
        <w:ind w:left="283"/>
      </w:pPr>
      <w:r>
        <w:rPr>
          <w:rFonts w:ascii="Calibri" w:hAnsi="Calibri"/>
          <w:b/>
          <w:color w:val="4A6B25"/>
          <w:sz w:val="20"/>
        </w:rPr>
        <w:t xml:space="preserve">3. </w:t>
      </w:r>
      <w:r>
        <w:rPr>
          <w:rFonts w:ascii="Calibri" w:hAnsi="Calibri"/>
          <w:b w:val="0"/>
          <w:color w:val="3A4A28"/>
          <w:sz w:val="20"/>
        </w:rPr>
        <w:t>Extremely low valuation at 4.8x forward P/E with 33.5% ROE and 2.83% dividend yield — significant multiple expansion potential if copper strategy de-risks and gold prices hold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decline — Harmony's profitability is heavily leveraged to gold prices, and a sustained drop below $2,000/oz would compress margins and threaten the copper investment thesis [1]</w:t>
      </w:r>
    </w:p>
    <w:p>
      <w:pPr>
        <w:spacing w:before="40" w:after="40"/>
        <w:ind w:left="283"/>
      </w:pPr>
      <w:r>
        <w:rPr>
          <w:rFonts w:ascii="Calibri" w:hAnsi="Calibri"/>
          <w:b/>
          <w:color w:val="4A6B25"/>
          <w:sz w:val="20"/>
        </w:rPr>
        <w:t xml:space="preserve">2. </w:t>
      </w:r>
      <w:r>
        <w:rPr>
          <w:rFonts w:ascii="Calibri" w:hAnsi="Calibri"/>
          <w:b w:val="0"/>
          <w:color w:val="3A4A28"/>
          <w:sz w:val="20"/>
        </w:rPr>
        <w:t>Execution risk on $1.55B Eva Copper and CSA ramp-up — capital-intensive mining projects in Queensland and New South Wales face permitting, construction, and operational risks with a 10-year payback horizon [1][2]</w:t>
      </w:r>
    </w:p>
    <w:p>
      <w:pPr>
        <w:spacing w:before="40" w:after="40"/>
        <w:ind w:left="283"/>
      </w:pPr>
      <w:r>
        <w:rPr>
          <w:rFonts w:ascii="Calibri" w:hAnsi="Calibri"/>
          <w:b/>
          <w:color w:val="4A6B25"/>
          <w:sz w:val="20"/>
        </w:rPr>
        <w:t xml:space="preserve">3. </w:t>
      </w:r>
      <w:r>
        <w:rPr>
          <w:rFonts w:ascii="Calibri" w:hAnsi="Calibri"/>
          <w:b w:val="0"/>
          <w:color w:val="3A4A28"/>
          <w:sz w:val="20"/>
        </w:rPr>
        <w:t>South African operational challenges including declining underground grades (down 11% to 5.7 g/t), illegal mining, Eskom electricity unreliability, and ZAR currency volatility affecting USD-reported results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Gold mining is structurally immune to AI disruption — extracting gold from deep underground mines in South Africa and open-pit operations in Papua New Guinea requires physical-world operations that AI cannot replace [2]. The value proposition is the gold itself, a 5,000-year store of value whose demand increases during uncertainty. AI data center buildout actually increases demand for copper (used in electrical wiring and cooling systems), directly benefiting Harmony's copper diversification strategy — the Eva Copper and CSA projects position Harmony as a beneficiary of AI infrastructure growth [1]. No analysts have flagged AI as a displacement risk for gold mining. AI Opportunity (0/1): Harmony does not generate AI-related revenue. The company's technology focus is on operational efficiency in extraction and processing rather than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Harmony Gold H1 FY2026 Interim Results — R44.4B revenue, 20% growth, EBITDA up 39%, production down 9%, March 11, 2026</w:t>
      </w:r>
    </w:p>
    <w:p>
      <w:pPr>
        <w:spacing w:before="20" w:after="20"/>
        <w:ind w:left="170"/>
      </w:pPr>
      <w:r>
        <w:rPr>
          <w:rFonts w:ascii="Calibri" w:hAnsi="Calibri"/>
          <w:b/>
          <w:color w:val="4A6B25"/>
          <w:sz w:val="15"/>
        </w:rPr>
        <w:t xml:space="preserve">2. </w:t>
      </w:r>
      <w:r>
        <w:rPr>
          <w:rFonts w:ascii="Calibri" w:hAnsi="Calibri"/>
          <w:b w:val="0"/>
          <w:color w:val="3A4A28"/>
          <w:sz w:val="17"/>
        </w:rPr>
        <w:t>Harmony Gold Strategic Vision — CEO Beyers Nel appointment, copper diversification, Eva Copper $1.55B approval, CSA acquisition, 2025-2026</w:t>
      </w:r>
    </w:p>
    <w:p>
      <w:pPr>
        <w:spacing w:before="20" w:after="20"/>
        <w:ind w:left="170"/>
      </w:pPr>
      <w:r>
        <w:rPr>
          <w:rFonts w:ascii="Calibri" w:hAnsi="Calibri"/>
          <w:b/>
          <w:color w:val="4A6B25"/>
          <w:sz w:val="15"/>
        </w:rPr>
        <w:t xml:space="preserve">3. </w:t>
      </w:r>
      <w:r>
        <w:rPr>
          <w:rFonts w:ascii="Calibri" w:hAnsi="Calibri"/>
          <w:b w:val="0"/>
          <w:color w:val="3A4A28"/>
          <w:sz w:val="17"/>
        </w:rPr>
        <w:t>Harmony Gold ESG — acid mine drainage litigation, Mine Waste Solutions community program, Kareerand tailings facility, illegal mining challenges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HMY, retrieved March 31,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