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HOG</w:t>
      </w:r>
      <w:r>
        <w:rPr>
          <w:rFonts w:ascii="Calibri" w:hAnsi="Calibri"/>
          <w:b/>
          <w:color w:val="1A2010"/>
          <w:sz w:val="40"/>
        </w:rPr>
        <w:t xml:space="preserve">  Harley-Davidson, Inc.</w:t>
      </w:r>
    </w:p>
    <w:p>
      <w:pPr>
        <w:spacing w:after="120"/>
      </w:pPr>
      <w:r>
        <w:rPr>
          <w:rFonts w:ascii="Calibri" w:hAnsi="Calibri"/>
          <w:b/>
          <w:color w:val="6E8450"/>
          <w:sz w:val="18"/>
        </w:rPr>
        <w:t>DIVIDEND SLEEVE · 2026-04-07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NYSE · United States</w:t>
      </w:r>
    </w:p>
    <w:p>
      <w:pPr>
        <w:spacing w:after="80"/>
      </w:pPr>
      <w:r>
        <w:rPr>
          <w:rFonts w:ascii="Calibri" w:hAnsi="Calibri"/>
          <w:b w:val="0"/>
          <w:color w:val="3A4A28"/>
          <w:sz w:val="20"/>
        </w:rPr>
        <w:t>Harley-Davidson is an iconic American motorcycle manufacturer founded in 1903, producing heavyweight cruiser and touring motorcycles. The company operates through three segments: Harley-Davidson Motor Company (HDMC), Harley-Davidson Financial Services (HDFS), and LiveWire (electric motorcycles). HOG also operates the Harley Owners Group (H.O.G.), one of the world's largest brand communities.</w:t>
      </w:r>
    </w:p>
    <w:p>
      <w:r>
        <w:rPr>
          <w:rFonts w:ascii="Calibri" w:hAnsi="Calibri"/>
          <w:b/>
          <w:color w:val="6E8450"/>
          <w:sz w:val="18"/>
        </w:rPr>
        <w:t>5,500 Employees · https://www.harley-davidson.com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Harley-Davidson spun out LiveWire as the first publicly traded all-electric motorcycle company in 2022, demonstrating a pivot toward electrification, but LiveWire continues to hemorrhage cash with a projected $70-80M operating loss in 2026 and minimal unit sales [1][2]. The core ICE motorcycle business has seen limited new product innovation beyond incremental model refreshes. AI Deployment (0/2): No evidence of AI-powered products shipping to customers or quantified AI-driven cost savings. The company has appointed a Chief Marketing and Technology Officer to integrate digital experiences, but no specific AI deployment results have been disclosed [2]. Market Share (1/2): Harley-Davidson remains the dominant brand in U.S. heavyweight motorcycles, but global market share is eroding as the core demographic ages and younger riders gravitate toward lighter, more affordable competitors like Royal Enfield and Honda [1]. Pipeline (0/2): No specific next-generation products announced with clear timelines or revenue visibility. The 2026 outlook is framed as a 'transition year' focused on inventory rebalancing rather than new product launches [1]. R&amp;D Intensity (1/1): LiveWire investment and the company's commitment to electrification demonstrate R&amp;D spending above recreational vehicle peers, despite the challenging financial returns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Harley-Davidson's purpose — 'More than building machines, we stand for the timeless pursuit of adventure. Freedom for the soul.' — is genuinely distinctive, deeply embedded in American culture, and has guided the brand for over 120 years. The brand IS the identity for millions of riders worldwide; few companies achieve this level of emotional connection [2]. Community Impact (2/2): The Harley Owners Group (H.O.G.) has over 1 million members globally and represents one of the most successful brand communities in history. Harley-Davidson rallies, charity rides, and dealership events generate significant community impact and charitable contributions [2]. Employee Retention (0/2): Significant leadership instability — CEO Artie Starrs and several C-suite positions were recently reshuffled, and the company faces shareholder activism concerns [2]. No specific employee retention data available, and the 2024 workforce restructuring raises concerns. Insider Buying (0/2): No evidence of meaningful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Harley-Davidson trades at a deep value multiple of 11.2x forward P/E and 7.6x trailing P/E, reflecting significant earnings uncertainty [4]. D/E of 96.7% is moderate given the financial services arm carries structural leverage [4]. ROE of 10.4% is below the 15% target, dragged down by declining profitability. Revenue declined 27.8% YoY to $4.47B — well below the -20% floor — reflecting a severe volume downturn [1]. HDMC turned loss-making in Q4 2025 with a $30M gross loss on tariff costs and incentive spending [1]. Profit margin of 7.6% is positive but thin [4]. The dividend yield of 3.5% with a 25.9% payout ratio provides income support, and Harley has paid dividends for 16+ consecutive years, though growth has been inconsistent with a COVID-era cut and restoration [4]. Management expects $150M in annual cost savings beginning H2 2026 [1]. Liquidity floor cleared: 3.67M avg vol × $21.0 = $77.1M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Harley-Davidson possesses one of the most authentic brand purposes in corporate America — freedom and adventure — validated by 120+ years of consistent brand identity and a fiercely loyal rider community. However, recent leadership instability, the reactive DEI policy reversal under social media pressure, and a 'transition year' focused on cost-cutting rather than vision suggest the company is currently playing a finite game, optimizing for survival rather than building for the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Harley-Davidson's pursuit of 'freedom for the soul' through motorcycling is a genuine Just Cause that has endured for over 120 years — surviving wars, recessions, near-bankruptcy in the 1980s, and cultural shifts [2]. The brand represents more than transportation; it embodies personal freedom and rebellion. H.O.G.'s 1M+ members are testament to people joining a cause, not just buying a product. However, the aging core demographic and declining unit sales raise questions about whether the cause still inspires the next generation. 2 points on the 0-3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Harley-Davidson's factory culture and dealer network have historically fostered loyalty and pride, with employees and dealers viewing themselves as part of the Harley family. However, recent leadership reshuffling — new CEO Artie Starrs, new CFO/COO/CMO appointments — creates organizational uncertainty [2]. The workforce restructuring and governance concerns flagged by shareholder activists suggest the current trust environment is strained. 1 point on the 0-2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Harley-Davidson's competitive language historically focuses on brand supremacy and market share dominance rather than learning from rivals. The company has been slow to acknowledge that Royal Enfield, Indian Motorcycle, and Japanese manufacturers offer compelling alternatives that attract younger riders. The DEI reversal under social media pressure suggests reactive decision-making rather than principled competitive positioning [3]. 0 points on the 0-1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LiveWire electric motorcycle spinout represents genuine existential flexibility — Harley-Davidson recognized that the future of motorcycling may be electric and was willing to invest in a separate brand identity to pursue it [2]. However, LiveWire's $70-80M projected annual losses and minimal market traction suggest the execution has been poor. The company has not yet demonstrated a willingness to fundamentally reimagine its core business model beyond incremental changes. 1 point on the 0-2 scale.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evidence suggests a lack of courage. The DEI policy reversal under social media pressure from activist Robby Starbuck in 2024 — abandoning diversity programs, HRC scoring, and supplier diversity goals — demonstrates that leadership prioritizes avoiding controversy over standing by principles [3]. The 2026 'transition year' framing and HDMC operating income guidance of +$10M to -$40M suggest management is managing expectations rather than making bold bets. No evidence of leadership sacrificing short-term performance for long-term capability building. 0 points on the 0-2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Harley-Davidson is a deeply discounted American icon trading at 11.2x forward P/E and 7.6x trailing P/E — a valuation that implies permanent earnings impairment. The $2.5B market cap company generates $4.47B in revenue, owns the dominant U.S. heavyweight motorcycle brand with 120+ years of heritage, operates a profitable financial services arm (HDFS reported record $490M operating income in 2025), and pays a 3.5% dividend yield with a conservative 25.9% payout ratio [1]. Management's $150M annual cost savings program beginning H2 2026 could restore HDMC profitability, and the deep value multiple provides asymmetric upside if motorcycle demand normalizes [1]. The H.O.G. community of 1M+ members creates brand loyalty unmatched in consumer cyclicals.</w:t>
      </w:r>
    </w:p>
    <w:p>
      <w:pPr>
        <w:spacing w:after="120"/>
      </w:pPr>
      <w:r>
        <w:rPr>
          <w:rFonts w:ascii="Calibri" w:hAnsi="Calibri"/>
          <w:b w:val="0"/>
          <w:color w:val="3A4A28"/>
          <w:sz w:val="20"/>
        </w:rPr>
        <w:t>The bear case is substantial and multi-layered. Revenue declined 27.8% YoY to $4.47B, HDMC turned loss-making in Q4 2025 with a $30M gross loss on tariffs and incentives, and 2026 guidance of +$10M to -$40M HDMC operating income signals continued near-term pain [1]. The core customer demographic is aging — the average Harley buyer is 50+ years old — and the company has failed to attract younger riders despite years of trying. LiveWire's $70-80M annual operating loss drains capital with minimal electric motorcycle sales [1]. Leadership instability (CEO change, C-suite reshuffling, shareholder activism), the DEI controversy that alienated both progressive and conservative customers, and a 'transition year' posture without a clear strategic vision create significant execution risk [2][3]. Total debt of $3.05B against a $2.5B market cap means the balance sheet offers limited cushion if the downturn deepens. Revenue has declined from $5.84B (2023) to $4.47B (2025) — a structural decline, not a cyclical dip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$150M annual cost savings program beginning H2 2026 could restore HDMC profitability and expand margins if management executes on restructuring [1]</w:t>
      </w:r>
    </w:p>
    <w:p>
      <w:pPr>
        <w:spacing w:before="40" w:after="40"/>
        <w:ind w:left="283"/>
      </w:pPr>
      <w:r>
        <w:rPr>
          <w:rFonts w:ascii="Calibri" w:hAnsi="Calibri"/>
          <w:b/>
          <w:color w:val="4A6B25"/>
          <w:sz w:val="20"/>
        </w:rPr>
        <w:t xml:space="preserve">2. </w:t>
      </w:r>
      <w:r>
        <w:rPr>
          <w:rFonts w:ascii="Calibri" w:hAnsi="Calibri"/>
          <w:b w:val="0"/>
          <w:color w:val="3A4A28"/>
          <w:sz w:val="20"/>
        </w:rPr>
        <w:t>Housing and consumer confidence recovery driving discretionary spending on big-ticket items like motorcycles, potentially normalizing unit volumes from depressed 2025 levels [1]</w:t>
      </w:r>
    </w:p>
    <w:p>
      <w:pPr>
        <w:spacing w:before="40" w:after="40"/>
        <w:ind w:left="283"/>
      </w:pPr>
      <w:r>
        <w:rPr>
          <w:rFonts w:ascii="Calibri" w:hAnsi="Calibri"/>
          <w:b/>
          <w:color w:val="4A6B25"/>
          <w:sz w:val="20"/>
        </w:rPr>
        <w:t xml:space="preserve">3. </w:t>
      </w:r>
      <w:r>
        <w:rPr>
          <w:rFonts w:ascii="Calibri" w:hAnsi="Calibri"/>
          <w:b w:val="0"/>
          <w:color w:val="3A4A28"/>
          <w:sz w:val="20"/>
        </w:rPr>
        <w:t>Deep value multiple of 11.2x forward P/E with 3.5% dividend yield provides asymmetric upside if the turnaround gains traction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demand decline — aging core demographic (average buyer 50+) and failure to attract younger riders suggests the revenue decline from $5.84B to $4.47B may be permanent, not cyclical [1]</w:t>
      </w:r>
    </w:p>
    <w:p>
      <w:pPr>
        <w:spacing w:before="40" w:after="40"/>
        <w:ind w:left="283"/>
      </w:pPr>
      <w:r>
        <w:rPr>
          <w:rFonts w:ascii="Calibri" w:hAnsi="Calibri"/>
          <w:b/>
          <w:color w:val="4A6B25"/>
          <w:sz w:val="20"/>
        </w:rPr>
        <w:t xml:space="preserve">2. </w:t>
      </w:r>
      <w:r>
        <w:rPr>
          <w:rFonts w:ascii="Calibri" w:hAnsi="Calibri"/>
          <w:b w:val="0"/>
          <w:color w:val="3A4A28"/>
          <w:sz w:val="20"/>
        </w:rPr>
        <w:t>LiveWire electric motorcycle losses of $70-80M annually drain capital with no clear path to profitability, representing a strategic bet that has not paid off [1]</w:t>
      </w:r>
    </w:p>
    <w:p>
      <w:pPr>
        <w:spacing w:before="40" w:after="40"/>
        <w:ind w:left="283"/>
      </w:pPr>
      <w:r>
        <w:rPr>
          <w:rFonts w:ascii="Calibri" w:hAnsi="Calibri"/>
          <w:b/>
          <w:color w:val="4A6B25"/>
          <w:sz w:val="20"/>
        </w:rPr>
        <w:t xml:space="preserve">3. </w:t>
      </w:r>
      <w:r>
        <w:rPr>
          <w:rFonts w:ascii="Calibri" w:hAnsi="Calibri"/>
          <w:b w:val="0"/>
          <w:color w:val="3A4A28"/>
          <w:sz w:val="20"/>
        </w:rPr>
        <w:t>Leadership instability and governance concerns — CEO turnover, C-suite reshuffling, and shareholder activism undermine strategic continuity during a critical transition period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Harley-Davidson's core business — manufacturing, selling, and servicing physical motorcycles — is structurally immune to AI disruption. The motorcycle riding experience is inherently physical and emotional; AI cannot replace the sensation of riding a Harley or the community bonds formed through H.O.G. events [2]. The manufacturing process involves heavy industrial operations, proprietary engine designs (Milwaukee-Eight, Revolution Max), and a global dealer network that AI cannot displace. The financial services segment (HDFS) faces some AI exposure in credit underwriting and customer service, but these are enhancement opportunities rather than substitution risks. AI Opportunity (0/1): No evidence of meaningful AI revenue generation. The company is in early stages of integrating digital capabilities under its new Chief Marketing and Technology Officer, but no AI products or quantified AI-driven revenue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Harley-Davidson Q4 and Full Year 2025 Earnings Release — $4.47B revenue, -14% YoY, HDMC loss-making,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PR Newswire / Harley-Davidson — Leadership changes, LiveWire strategy, Sean McCormack CTO on innovation, 2025-2026</w:t>
      </w:r>
    </w:p>
    <w:p>
      <w:pPr>
        <w:spacing w:before="20" w:after="20"/>
        <w:ind w:left="170"/>
      </w:pPr>
      <w:r>
        <w:rPr>
          <w:rFonts w:ascii="Calibri" w:hAnsi="Calibri"/>
          <w:b/>
          <w:color w:val="4A6B25"/>
          <w:sz w:val="15"/>
        </w:rPr>
        <w:t xml:space="preserve">3. </w:t>
      </w:r>
      <w:r>
        <w:rPr>
          <w:rFonts w:ascii="Calibri" w:hAnsi="Calibri"/>
          <w:b w:val="0"/>
          <w:color w:val="3A4A28"/>
          <w:sz w:val="17"/>
        </w:rPr>
        <w:t>CBS News / The Hill / National Review — Harley-Davidson DEI policy reversal controversy under Robby Starbuck pressure,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HOG (Harley-Davidson),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