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HOMB</w:t>
      </w:r>
      <w:r>
        <w:rPr>
          <w:rFonts w:ascii="Calibri" w:hAnsi="Calibri"/>
          <w:b/>
          <w:color w:val="1A2010"/>
          <w:sz w:val="40"/>
        </w:rPr>
        <w:t xml:space="preserve">  Home BancShares, Inc.</w:t>
      </w:r>
    </w:p>
    <w:p>
      <w:pPr>
        <w:spacing w:after="120"/>
      </w:pPr>
      <w:r>
        <w:rPr>
          <w:rFonts w:ascii="Calibri" w:hAnsi="Calibri"/>
          <w:b/>
          <w:color w:val="6E8450"/>
          <w:sz w:val="18"/>
        </w:rPr>
        <w:t>DIVIDEND SLEEVE · 2026-04-28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Home BancShares, Inc. operates as the bank holding company for Centennial Bank, providing commercial and retail banking and related financial services to businesses, real estate developers and investors, individuals, and municipalities. The company operates branches across Arkansas, Florida, Texas, South Alabama, and New York City, offering deposit services, lending, trust and wealth management, insurance, and digital banking solutions.</w:t>
      </w:r>
    </w:p>
    <w:p>
      <w:r>
        <w:rPr>
          <w:rFonts w:ascii="Calibri" w:hAnsi="Calibri"/>
          <w:b/>
          <w:color w:val="6E8450"/>
          <w:sz w:val="18"/>
        </w:rPr>
        <w:t>2,543 Employees · https://www.homebancshares.com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Home BancShares has executed a highly successful M&amp;A-driven growth strategy over the past five years, growing total assets from approximately $18B to $23.2B through strategic acquisitions including the recently completed Mountain Commerce Bancorp merger (effective April 1, 2026), which adds $1.8B in assets and expands the Tennessee footprint [1]. Revenue grew from $917M (2022) to $1.08B (2025), an 18% increase over three years, demonstrating consistent execution. AI Deployment (0/2): No evidence of AI-powered products or quantified AI-driven cost savings specific to Home BancShares or Centennial Bank. The company has not publicly discussed AI deployment in earnings calls or press releases [2]. Market Share (1/2): Centennial Bank is a meaningful regional banking franchise with strong market positions in Arkansas, Florida, and select markets, but it is not a category leader — it competes with much larger national banks and numerous regional peers [1]. Product Pipeline (1/2): The Mountain Commerce acquisition provides visibility into near-term growth, and Chairman/CEO John Allison has signaled openness to additional M&amp;A deals throughout the footprint [1]. The company's expansion into digital banking and wealth management provides incremental growth avenues. R&amp;D Intensity (1/1): While banks don't report traditional R&amp;D, Home BancShares invests meaningfully in technology infrastructure and digital banking capabilities relative to similarly sized community banks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Home BancShares positions itself as a community-focused bank that serves attractive markets through experienced bankers with strong local relationships [2]. The mission is clear — provide exceptional banking service through community engagement — but it is not distinctively inspirational compared to hundreds of other community bank holding companies. Community Impact (1/2): Centennial Bank appointed Audra Foster as Director of Corporate Social Responsibility in 2021, formalizing ESG initiatives around the pillars of People, Planet, and Prosperity [3]. The bank maintains involvement with and support of local charities across its footprint, though specific dollar amounts or flagship programs are not publicly detailed. Employee Retention (1/2): Home BancShares has demonstrated exceptional leadership stability — Chairman/CEO John W. Allison has led the company since 1998 (28 years), with President Kevin Hester and Centennial Bank CEO Stephen Tipton both promoted from within in 2024 [2]. The orderly internal succession suggests a stable culture that develops talent, though specific employee retention metrics are not disclosed. Insider Buying (1/2): Insider transactions show moderate alignment, with executives holding meaningful equity positions. Allison's 28-year tenure and significant ownership stake demonstrate long-term conviction, though no notable net insider buying was observed in recent quarters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Home BancShares delivers top-tier financial performance for a regional bank. D/E is not available for banks (which use leverage-based capital ratios instead), but HOMB maintains well-capitalized ratios with Q1 2026 ROA of 2.09%, exceptional for the banking industry [1]. ROE of 11.4% falls below the 15% target but is solid for a conservatively managed community bank. Revenue grew 7.7% YoY to $1.08B in FY2025, with Q1 2026 continuing the trend at $266.7M (+2.5% YoY) [1]. Forward P/E of 10.3x is highly attractive for a bank generating consistent earnings growth and a 2.09% ROA. Profit margin of 44.5% is exceptional, well above the 20% target, reflecting Centennial Bank's efficient operations and strong net interest margin. Dividend metrics are robust: 33.7% payout ratio is conservative, 20 consecutive years of dividends paid, 16 consecutive years of dividend growth, and 5-year dividend growth CAGR of 8.7% [3]. The Mountain Commerce acquisition effective April 1, 2026 adds scale and should be accretive to EPS. Liquidity floor cleared: 1.5M avg volume x $26.78 = $41.0M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Home BancShares demonstrates strong infinite game characteristics anchored by John Allison's 28-year tenure as Chairman/CEO, a consistent community banking philosophy, and a proven M&amp;A strategy that has grown total assets from a small Arkansas bank to a $23B multi-state franchise. The company plays to endure in its communities rather than chase short-term trends, though the growth-through-acquisition model carries some finite-game characteristics of empire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Home BancShares has a genuine community banking purpose — serving local businesses, real estate developers, and individuals through experienced bankers with deep local relationships [2]. This purpose has been consistently validated over 120+ years of operation (founded 1903) and through Allison's 28-year leadership, during which the company grew from a small Arkansas community bank into a multi-state franchise while maintaining its community focus. The Just Cause is not transformative or world-changing, but it is authentic, enduring, and clearly lived. Score: 2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Home BancShares demonstrates exceptional organizational trust. Chairman/CEO Allison's 28-year tenure is remarkable and reflects deep organizational commitment [2]. The 2024 promotions of Kevin Hester to President and Stephen Tipton to Centennial Bank CEO were orderly internal successions, demonstrating that the company develops leaders from within. The appointment of Audra Foster as Director of Corporate Social Responsibility shows institutional investment in values-driven culture. With 2,543 employees across five states, the company maintains a community banking culture where local bankers have decision-making authority and personal accountability to their markets [2][3].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Home BancShares competes with larger national banks, other regional banks, and community banks across its footprint without destructive competitive language. CEO Allison's M&amp;A approach is collaborative — acquiring banks and integrating their teams rather than competing them out of existence [1]. The company focuses on being the best community bank in its markets rather than defeating specific competitors.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Home BancShares has evolved meaningfully from a small Arkansas community bank into a multi-state, $23.2B asset franchise through strategic acquisitions, geographic expansion into Florida, Texas, Alabama, and New York City, and the addition of trust, wealth management, and insurance services [1]. The Mountain Commerce acquisition continues this pattern of geographic and capability expansion. However, these are evolutionary growth moves within community banking, not transformative reinventions of the business model. The company has not faced an existential pivot moment.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John Allison has demonstrated courage through aggressive but disciplined M&amp;A during periods of banking stress — Home BancShares acquired distressed banks during the 2008-2012 financial crisis at attractive prices, building the foundation for today's $23B franchise [2]. The willingness to continue acquiring (Mountain Commerce in 2026) while maintaining top-tier ROA of 2.09% shows confidence in long-term value creation over short-term earnings dilution. However, M&amp;A-driven growth is an established playbook for community banks, not a uniquely courageous bet.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Home BancShares is a top-tier community bank franchise delivering consistent financial performance — Q1 2026 net income of $118.2M ($0.60 EPS) with a 2.09% ROA places HOMB among the highest-returning banks in the country [1]. At 10.3x forward P/E with a 3.14% dividend yield, 16 consecutive years of dividend growth (8.7% 5-year CAGR), and a conservative 33.7% payout ratio, the stock offers compelling value for income-oriented investors [3]. The Mountain Commerce Bancorp acquisition (completed April 1, 2026) adds $1.8B in Tennessee banking assets that should be accretive to earnings, and CEO Allison has signaled openness to additional deals. FY2025 revenue grew 7.7% to $1.08B with net income up 18.2% to $475M, demonstrating operating leverage as the bank scales [1]. The 120-year operating history and Allison's 28-year leadership provide rare institutional stability.</w:t>
      </w:r>
    </w:p>
    <w:p>
      <w:pPr>
        <w:spacing w:after="120"/>
      </w:pPr>
      <w:r>
        <w:rPr>
          <w:rFonts w:ascii="Calibri" w:hAnsi="Calibri"/>
          <w:b w:val="0"/>
          <w:color w:val="3A4A28"/>
          <w:sz w:val="20"/>
        </w:rPr>
        <w:t>The bear case centers on credit cycle risk and concentration. The $92.1M problem loan disclosed in Q1 2026 highlights the inherent credit risk in commercial real estate and construction lending, HOMB's primary loan categories [1]. If commercial real estate valuations decline (particularly in Florida and Texas where HOMB has significant exposure), loan losses could compress earnings meaningfully. Revenue growth of 2.5% in Q1 2026 YoY was modest, and the 5-year revenue CAGR of 5.5% reflects the inherent limitations of community banking's growth trajectory without M&amp;A. The PEG ratio of 3.01x suggests the market expects limited earnings growth relative to valuation. Allison is the linchpin of the growth strategy, and his eventual succession (he has served for 28 years) represents a key-man risk — the internal succession pipeline (Hester, Tipton) is in place but unproven at the top [2]. Regional banking also faces secular pressures from fintech competition for deposits and loans, and further M&amp;A depends on finding attractive targets at reasonable valuations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Mountain Commerce Bancorp integration (completed April 1, 2026) expected to be accretive to EPS, adding $1.8B in Tennessee banking assets and extending HOMB's geographic diversification [1]</w:t>
      </w:r>
    </w:p>
    <w:p>
      <w:pPr>
        <w:spacing w:before="40" w:after="40"/>
        <w:ind w:left="283"/>
      </w:pPr>
      <w:r>
        <w:rPr>
          <w:rFonts w:ascii="Calibri" w:hAnsi="Calibri"/>
          <w:b/>
          <w:color w:val="4A6B25"/>
          <w:sz w:val="20"/>
        </w:rPr>
        <w:t xml:space="preserve">2. </w:t>
      </w:r>
      <w:r>
        <w:rPr>
          <w:rFonts w:ascii="Calibri" w:hAnsi="Calibri"/>
          <w:b w:val="0"/>
          <w:color w:val="3A4A28"/>
          <w:sz w:val="20"/>
        </w:rPr>
        <w:t>Potential additional M&amp;A activity as CEO Allison has publicly signaled openness to further deals throughout the footprint, leveraging HOMB's strong currency (2.09% ROA) to acquire at attractive valuations [1]</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trajectory with 16 consecutive years of increases, 8.7% 5-year CAGR, and a conservative 33.7% payout ratio providing substantial room for further increases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credit cycle risk — the $92.1M problem loan in Q1 2026 illustrates vulnerability to CRE and construction loan deterioration, particularly in Florida and Texas markets with elevated property valuations [1]</w:t>
      </w:r>
    </w:p>
    <w:p>
      <w:pPr>
        <w:spacing w:before="40" w:after="40"/>
        <w:ind w:left="283"/>
      </w:pPr>
      <w:r>
        <w:rPr>
          <w:rFonts w:ascii="Calibri" w:hAnsi="Calibri"/>
          <w:b/>
          <w:color w:val="4A6B25"/>
          <w:sz w:val="20"/>
        </w:rPr>
        <w:t xml:space="preserve">2. </w:t>
      </w:r>
      <w:r>
        <w:rPr>
          <w:rFonts w:ascii="Calibri" w:hAnsi="Calibri"/>
          <w:b w:val="0"/>
          <w:color w:val="3A4A28"/>
          <w:sz w:val="20"/>
        </w:rPr>
        <w:t>Key-man risk from CEO John Allison's 28-year tenure — while internal succession is in place (Hester, Tipton), Allison's relationships, deal-making instincts, and strategic vision are difficult to replicate [2]</w:t>
      </w:r>
    </w:p>
    <w:p>
      <w:pPr>
        <w:spacing w:before="40" w:after="40"/>
        <w:ind w:left="283"/>
      </w:pPr>
      <w:r>
        <w:rPr>
          <w:rFonts w:ascii="Calibri" w:hAnsi="Calibri"/>
          <w:b/>
          <w:color w:val="4A6B25"/>
          <w:sz w:val="20"/>
        </w:rPr>
        <w:t xml:space="preserve">3. </w:t>
      </w:r>
      <w:r>
        <w:rPr>
          <w:rFonts w:ascii="Calibri" w:hAnsi="Calibri"/>
          <w:b w:val="0"/>
          <w:color w:val="3A4A28"/>
          <w:sz w:val="20"/>
        </w:rPr>
        <w:t>Regional banking secular pressure from fintech and neobank competition for deposits and consumer loans, requiring ongoing technology investment that may compress net interest margins over time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is protected from AI disruption by several structural factors: regulatory compliance requirements (KYC, BSA/AML), relationship-driven commercial lending that requires human judgment and local market knowledge, physical branch networks serving customers who value in-person service, and FDIC-insured deposit-taking that AI companies cannot replicate without bank charters [2]. Centennial Bank's focus on commercial real estate, construction/land development, and agricultural lending involves collateral-based underwriting and borrower relationships that resist algorithmic replacement. However, AI poses moderate exposure in consumer banking — digital-native neobanks and AI-powered lending platforms (SoFi, LendingClub) are competing for deposits and consumer loans, and AI-driven fraud detection and customer service chatbots are becoming table stakes that require ongoing investment. The $92.1M problem loan reported in Q1 2026 demonstrates that credit analysis remains a human-judgment-intensive process where AI tools could provide marginal improvements [1]. AI Opportunity (0/1): Home BancShares does not generate AI-related revenue and has not publicly discussed AI deployment as a revenue driver or significant cost savings initiative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Home BancShares Q1 2026 Earnings Release — $118.2M net income, $0.60 EPS, 2.09% ROA, Mountain Commerce acquisition completion; GlobeNewsWire, Talk Business &amp; Politics, April 2026</w:t>
      </w:r>
    </w:p>
    <w:p>
      <w:pPr>
        <w:spacing w:before="20" w:after="20"/>
        <w:ind w:left="170"/>
      </w:pPr>
      <w:r>
        <w:rPr>
          <w:rFonts w:ascii="Calibri" w:hAnsi="Calibri"/>
          <w:b/>
          <w:color w:val="4A6B25"/>
          <w:sz w:val="15"/>
        </w:rPr>
        <w:t xml:space="preserve">2. </w:t>
      </w:r>
      <w:r>
        <w:rPr>
          <w:rFonts w:ascii="Calibri" w:hAnsi="Calibri"/>
          <w:b w:val="0"/>
          <w:color w:val="3A4A28"/>
          <w:sz w:val="17"/>
        </w:rPr>
        <w:t>Home BancShares corporate profile — Chairman/CEO John Allison (28-year tenure), leadership structure, community banking philosophy, M&amp;A strategy; homebancshares.com, American Banker,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HOMB — financial metrics, dividend history, volume data,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