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HOOD</w:t>
      </w:r>
      <w:r>
        <w:rPr>
          <w:rFonts w:ascii="Calibri" w:hAnsi="Calibri"/>
          <w:b/>
          <w:color w:val="1A2010"/>
          <w:sz w:val="40"/>
        </w:rPr>
        <w:t xml:space="preserve">  Robinhood Markets, Inc.</w:t>
      </w:r>
    </w:p>
    <w:p>
      <w:pPr>
        <w:spacing w:after="120"/>
      </w:pPr>
      <w:r>
        <w:rPr>
          <w:rFonts w:ascii="Calibri" w:hAnsi="Calibri"/>
          <w:b/>
          <w:color w:val="6E8450"/>
          <w:sz w:val="18"/>
        </w:rPr>
        <w:t>GROWTH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Robinhood Markets is a financial services company that operates a commission-free trading platform for stocks, ETFs, options, and cryptocurrency. Founded in 2013 by Vlad Tenev and Baiju Bhatt, the company pioneered zero-commission retail brokerage and has evolved into a financial super-app offering Robinhood Gold subscriptions (4.2M members), the Robinhood Gold Card, prediction markets, and international expansion. Recent acquisitions of Bitstamp (crypto exchange) and TradePMR (RIA custody platform) extend the platform beyond retail.</w:t>
      </w:r>
    </w:p>
    <w:p>
      <w:r>
        <w:rPr>
          <w:rFonts w:ascii="Calibri" w:hAnsi="Calibri"/>
          <w:b/>
          <w:color w:val="6E8450"/>
          <w:sz w:val="18"/>
        </w:rPr>
        <w:t>2,900 Employees · https://robinhood.com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Robinhood transformed from a meme-stock brokerage to a diversified financial super-app, growing revenue from $1.36B in 2022 to $4.47B in 2025 — a 49% three-year CAGR [1]. The company launched the Gold Card (targeting 1M+ customers in 2026), prediction markets (12B+ contracts traded in 2025), Robinhood Gold subscriptions (4.2M members, +60% YoY), and acquired Bitstamp and TradePMR to expand into institutional crypto and RIA custody [1]. AI Deployment (2/2): Robinhood is deploying a three-phase AI customer support system — from chatbot search to personalized account-aware support to autonomous write actions (refunds, account changes) [3]. The company is launching AI-powered investment recommendations, automated portfolio management, and AI concierge financial services targeting younger investors. CEO Tenev calls AI a 'huge platform shift' comparable to mobile and cloud [3]. Market Share (1/2): Robinhood is a significant player in retail brokerage with particular strength among Gen Z and millennial investors, but does not lead the category — Schwab, Fidelity, and Vanguard hold larger AUM. Total platform assets of $324B (up ~70% YoY) are growing rapidly but remain a fraction of legacy competitors [1]. Pipeline (2/2): Specific 2026 targets include doubling Gold Card customers to 1M+, 20%+ net deposit growth ($7B+ already in Q1 2026), continued Bitstamp crypto exchange integration, TradePMR RIA custody platform buildout, and EU international expansion [1]. R&amp;D Intensity (1/1): Significant technology investment for a 2,900-person company generating $4.5B revenue — the lean team structure amplifies R&amp;D productivity. AI integration across the platform demonstrates above-average technology commitment for financial services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'Democratize finance for all' is a specific, thoughtful mission that has genuinely shaped Robinhood's strategic decisions — zero-commission trading, fractional shares, accessible app design, and the Gold Card all trace directly back to this purpose [3]. It connects the company's work to a larger vision of financial inclusion and has differentiated Robinhood from legacy brokerages. However, the GameStop controversy and payment-for-order-flow business model created tension with the stated mission, and the company hasn't yet proven this purpose through multi-decade consistency. Community Impact (1/2): The Robinhood Foundation supports financial literacy programs. The platform has genuinely brought millions of first-time investors into the market, and the Gold Card provides premium financial services to everyday consumers. Ten employee resource groups support workplace community [4]. However, no specific charitable dollar amounts or distinctive community programs were identified. Employee Retention (1/2): The 2,900-person team demonstrates Tenev's 'impact with small teams' philosophy, generating $1.54M revenue per employee — extraordinary productivity. Weekly open leadership meetings and a lean culture suggest organizational health. However, the company went through painful layoffs in 2022 (23% of staff) during the post-meme-stock contraction, which may have damaged trust [3]. Insider Buying (0/2): No evidence of meaningful net insider buying by Tenev or other executives in recent filings. Routine stock-based compensation dominates insider transaction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Robinhood's financial profile is strong across nearly all metrics following its transformation to profitability. Revenue of $4.47B (52% full-year growth, 26.5% Q4 YoY) with an exceptional profit margin of 42.1% and gross margin of 92.4% demonstrate platform economics at scale [1]. ROE of 22.0% exceeds the 15% target (score 1.0, weight 2x). D/E of 136% is moderate (score 0.71), reflecting the regulatory capital requirements of a broker-dealer. Forward P/E of 25.5x scores 0.86 — a premium but justified by 49% revenue CAGR and 42% margins. Revenue 5yr CAGR of ~49% scores maximum (weight 2x). Forward PEG of ~0.75 (25.5 / 34.1% EPS growth) scores maximum (weight 2x). Net income of $1.9B in 2025 represents a dramatic turnaround from losses just two years prior. Liquidity floor easily cleared: 29.5M avg vol x $70.25 = ~$2.07B daily [5]. Mechanical calculation yields weighted sum of 9.58/10 =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Robinhood demonstrates genuine infinite game characteristics under Vlad Tenev's leadership. The mission to 'democratize finance for all' has meaningfully shaped strategic decisions, and Tenev's willingness to navigate the GameStop crisis, restructure the company, and make bold acquisitions shows courage to lead. The pivot from meme-stock broker to financial super-app demonstrates existential flexibility. However, the 2022 layoffs, payment-for-order-flow revenue model, and crypto-dependent revenue create tension with the democratization mission. The company is young (founded 2013) and hasn't proven its infinite game credentials through multi-decade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'Democratize finance for all' is a genuine cause that has shaped Robinhood's most important decisions — zero-commission trading (which forced the entire industry to follow), fractional shares, accessible design, and the Gold Card all trace directly to this purpose [3]. Tenev's vision of a post-AI economy where 'capital increasingly replaces labor' adds depth to the democratization mission — making investing accessible becomes existentially important if labor income declines [3]. However, the PFOF business model (where Robinhood profits from routing orders to market makers) and crypto revenue dependence create tension with the stated cause. The GameStop trading halt in 2021 damaged credibility. This is a genuine cause, partially lived — not yet proven through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Tenev's weekly open leadership meetings (where everyone hears the same information simultaneously rather than private one-on-ones) and 'impact with small teams' philosophy create transparency and empowerment [3]. The lean 2,900-person organization generating $4.5B revenue suggests high-trust, high-autonomy teams. The emphasis on young talent staying connected to the customer base shows cultural intentionality. However, the 23% staff layoffs in 2022 and the post-IPO exodus of early employees represent significant trust violations that the current culture is rebuilding from.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Tenev explicitly acknowledges legacy financial firms (Schwab, Fidelity) as rivals whose longevity reveals Robinhood's vulnerability — he warns against 'aging with your customers' and uses established firms' multi-generational customer relationships as motivation to continuously innovate and stay relevant to younger investors [3]. This is a mature competitive mindset that uses rivals' strengths as a mirror for self-improvement rather than targets for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Robinhood has evolved significantly from a simple stock trading app to a financial super-app encompassing crypto (Bitstamp acquisition), prediction markets (12B+ contracts), premium subscriptions (Gold with 4.2M members), credit cards (Gold Card), international expansion, and RIA custody (TradePMR) [1]. The pivot from meme-stock broker to diversified financial platform required meaningful strategic adaptation. However, the company remains fundamentally a retail financial services platform — the evolution has been within the same category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Tenev demonstrated exceptional courage navigating the GameStop crisis — facing Congressional testimony, massive customer backlash, and regulatory scrutiny while maintaining the company's strategic direction. He then made the painful decision to lay off 23% of staff in 2022 to restructure from 'bloated hyper-growth to a lean machine,' prioritizing long-term sustainability over short-term morale [3]. The acquisitions of Bitstamp and TradePMR represent bold bets on crypto and institutional expansion during a period when many firms retreated from crypto. Tenev's public articulation of the post-AI economy thesis — where investing replaces labor income — shows willingness to stake out a provocative long-term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Robinhood has completed a remarkable transformation from meme-stock brokerage to diversified financial super-app, delivering FY2025 revenue of $4.47B (up 52%), net income of $1.9B, and a 42.1% profit margin that rivals the best software companies [1]. The platform has 4.2M Gold subscribers (+60% YoY), $324B in total assets (up ~70%), and Q1 2026 net deposits of $7B+ signaling continued momentum. At 25.5x forward P/E with a 49% revenue CAGR and 42% margins, Robinhood trades at a reasonable valuation for its growth trajectory — the Forward PEG of ~0.75 suggests room for re-rating [5]. Tenev's vision of Robinhood as the financial platform for a post-AI economy where 'capital increasingly replaces labor' provides a compelling long-term narrative [3]. The Gold Card (targeting 1M+ customers), Bitstamp crypto exchange, prediction markets (12B+ contracts traded), and TradePMR RIA platform create multiple growth vectors beyond core brokerage. Gross margin of 92.4% demonstrates exceptional platform leverage.</w:t>
      </w:r>
    </w:p>
    <w:p>
      <w:pPr>
        <w:spacing w:after="120"/>
      </w:pPr>
      <w:r>
        <w:rPr>
          <w:rFonts w:ascii="Calibri" w:hAnsi="Calibri"/>
          <w:b w:val="0"/>
          <w:color w:val="3A4A28"/>
          <w:sz w:val="20"/>
        </w:rPr>
        <w:t>The bear case centers on revenue quality and competitive sustainability. A significant portion of 2025's 52% revenue growth was tied to the crypto bull market — a prolonged crypto winter would materially impact transaction fees and customer engagement [1]. The payment-for-order-flow (PFOF) model, which generates a substantial share of transaction revenue, faces potential EU phase-out by mid-2026 and ongoing U.S. regulatory scrutiny. Robinhood's D/E of 136% reflects broker-dealer capital requirements but limits financial flexibility. The 34.3x trailing P/E suggests the market is pricing in sustained growth that depends heavily on crypto and market activity — both cyclically volatile. Competition from Schwab (with $9T+ AUM), Fidelity, and emerging fintech platforms is intensifying as legacy firms adopt zero-commission and digital-first features. Robinhood's customer base skews young and price-sensitive, with lower average account balances than traditional brokerages, creating customer lifetime value uncertainty. Earnings growth of -34.5% in Q4 2025 despite revenue growth signals margin pressure from increased spending on international expansion, acquisitions, and new product launches ($2.6-2.7B in 2026 adjusted operating expenses) [1]. The IPO-era reputational damage from GameStop and the 2022 layoffs may limit institutional investor appetite.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ecosystem expansion — 4.2M Gold subscribers growing 60% YoY with Gold Card targeting 1M+ customers in 2026, creating high-margin recurring revenue and deeper customer engagement [1]</w:t>
      </w:r>
    </w:p>
    <w:p>
      <w:pPr>
        <w:spacing w:before="40" w:after="40"/>
        <w:ind w:left="283"/>
      </w:pPr>
      <w:r>
        <w:rPr>
          <w:rFonts w:ascii="Calibri" w:hAnsi="Calibri"/>
          <w:b/>
          <w:color w:val="4A6B25"/>
          <w:sz w:val="20"/>
        </w:rPr>
        <w:t xml:space="preserve">2. </w:t>
      </w:r>
      <w:r>
        <w:rPr>
          <w:rFonts w:ascii="Calibri" w:hAnsi="Calibri"/>
          <w:b w:val="0"/>
          <w:color w:val="3A4A28"/>
          <w:sz w:val="20"/>
        </w:rPr>
        <w:t>Bitstamp and TradePMR acquisitions extending Robinhood beyond retail into institutional crypto exchange and RIA custody, expanding the addressable market and diversifying revenue [1]</w:t>
      </w:r>
    </w:p>
    <w:p>
      <w:pPr>
        <w:spacing w:before="40" w:after="40"/>
        <w:ind w:left="283"/>
      </w:pPr>
      <w:r>
        <w:rPr>
          <w:rFonts w:ascii="Calibri" w:hAnsi="Calibri"/>
          <w:b/>
          <w:color w:val="4A6B25"/>
          <w:sz w:val="20"/>
        </w:rPr>
        <w:t xml:space="preserve">3. </w:t>
      </w:r>
      <w:r>
        <w:rPr>
          <w:rFonts w:ascii="Calibri" w:hAnsi="Calibri"/>
          <w:b w:val="0"/>
          <w:color w:val="3A4A28"/>
          <w:sz w:val="20"/>
        </w:rPr>
        <w:t>AI-powered financial super-app transformation — three-phase AI customer support, AI investment recommendations, and automated portfolio management positioning Robinhood as the AI-native financial platform for the next generation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Crypto revenue cyclicality — a significant portion of 2025 revenue growth was crypto-driven; a prolonged crypto winter would materially impact transaction fees, customer engagement, and the Bitstamp acquisition thesis [1]</w:t>
      </w:r>
    </w:p>
    <w:p>
      <w:pPr>
        <w:spacing w:before="40" w:after="40"/>
        <w:ind w:left="283"/>
      </w:pPr>
      <w:r>
        <w:rPr>
          <w:rFonts w:ascii="Calibri" w:hAnsi="Calibri"/>
          <w:b/>
          <w:color w:val="4A6B25"/>
          <w:sz w:val="20"/>
        </w:rPr>
        <w:t xml:space="preserve">2. </w:t>
      </w:r>
      <w:r>
        <w:rPr>
          <w:rFonts w:ascii="Calibri" w:hAnsi="Calibri"/>
          <w:b w:val="0"/>
          <w:color w:val="3A4A28"/>
          <w:sz w:val="20"/>
        </w:rPr>
        <w:t>PFOF regulatory risk — the EU's planned phase-out of payment-for-order-flow by mid-2026 and ongoing U.S. scrutiny threaten a core revenue stream that funds the zero-commission model [1]</w:t>
      </w:r>
    </w:p>
    <w:p>
      <w:pPr>
        <w:spacing w:before="40" w:after="40"/>
        <w:ind w:left="283"/>
      </w:pPr>
      <w:r>
        <w:rPr>
          <w:rFonts w:ascii="Calibri" w:hAnsi="Calibri"/>
          <w:b/>
          <w:color w:val="4A6B25"/>
          <w:sz w:val="20"/>
        </w:rPr>
        <w:t xml:space="preserve">3. </w:t>
      </w:r>
      <w:r>
        <w:rPr>
          <w:rFonts w:ascii="Calibri" w:hAnsi="Calibri"/>
          <w:b w:val="0"/>
          <w:color w:val="3A4A28"/>
          <w:sz w:val="20"/>
        </w:rPr>
        <w:t>Competitive moat durability — Schwab ($9T+ AUM), Fidelity, and fintech competitors are replicating Robinhood's zero-commission, digital-first features, potentially commoditizing Robinhood's core differentiator as legacy firms close the UX gap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EXPOSED. Robinhood's core brokerage business faces meaningful AI disruption risk from multiple vectors. AI-powered financial advisors and autonomous trading agents (from companies like OpenAI, Google, and fintech startups) could bypass brokerage platforms entirely, executing trades and managing portfolios without human interaction through a traditional app [3]. AI democratizes the financial analysis and recommendations that Robinhood uses to differentiate its platform. However, regulatory moats are substantial — broker-dealer licensing, SEC/FINRA compliance, customer asset custody, and money handling create barriers that AI alone cannot circumvent. The physical infrastructure of trade execution, clearing, and settlement cannot be replaced by software. Robinhood's own aggressive AI integration (three-phase customer support, AI investment tools) positions it to be an AI adopter rather than an AI victim. AI Opportunity (1/1): Robinhood is generating value from AI deployment — the three-phase AI customer support system reduces cost-to-serve, AI-powered investment recommendations drive engagement, and AI concierge services create premium product differentiation for Gold subscribers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Robinhood Q4 2025 / Full-Year 2025 Earnings Release — $4.47B revenue (52% growth), $1.9B net income, $324B platform assets, 4.2M Gold subscribers, February 10, 2026</w:t>
      </w:r>
    </w:p>
    <w:p>
      <w:pPr>
        <w:spacing w:before="20" w:after="20"/>
        <w:ind w:left="170"/>
      </w:pPr>
      <w:r>
        <w:rPr>
          <w:rFonts w:ascii="Calibri" w:hAnsi="Calibri"/>
          <w:b/>
          <w:color w:val="4A6B25"/>
          <w:sz w:val="15"/>
        </w:rPr>
        <w:t xml:space="preserve">2. </w:t>
      </w:r>
      <w:r>
        <w:rPr>
          <w:rFonts w:ascii="Calibri" w:hAnsi="Calibri"/>
          <w:b w:val="0"/>
          <w:color w:val="3A4A28"/>
          <w:sz w:val="17"/>
        </w:rPr>
        <w:t>FinancialContent / Finterra — Robinhood 2026 maturation from meme-stock broker to global financial super-app, March 2026</w:t>
      </w:r>
    </w:p>
    <w:p>
      <w:pPr>
        <w:spacing w:before="20" w:after="20"/>
        <w:ind w:left="170"/>
      </w:pPr>
      <w:r>
        <w:rPr>
          <w:rFonts w:ascii="Calibri" w:hAnsi="Calibri"/>
          <w:b/>
          <w:color w:val="4A6B25"/>
          <w:sz w:val="15"/>
        </w:rPr>
        <w:t xml:space="preserve">3. </w:t>
      </w:r>
      <w:r>
        <w:rPr>
          <w:rFonts w:ascii="Calibri" w:hAnsi="Calibri"/>
          <w:b w:val="0"/>
          <w:color w:val="3A4A28"/>
          <w:sz w:val="17"/>
        </w:rPr>
        <w:t>Fortune — Vlad Tenev on AI as platform shift, post-AI economy thesis, three-phase AI integration, leadership philosophy, August-September 2025</w:t>
      </w:r>
    </w:p>
    <w:p>
      <w:pPr>
        <w:spacing w:before="20" w:after="20"/>
        <w:ind w:left="170"/>
      </w:pPr>
      <w:r>
        <w:rPr>
          <w:rFonts w:ascii="Calibri" w:hAnsi="Calibri"/>
          <w:b/>
          <w:color w:val="4A6B25"/>
          <w:sz w:val="15"/>
        </w:rPr>
        <w:t xml:space="preserve">4. </w:t>
      </w:r>
      <w:r>
        <w:rPr>
          <w:rFonts w:ascii="Calibri" w:hAnsi="Calibri"/>
          <w:b w:val="0"/>
          <w:color w:val="3A4A28"/>
          <w:sz w:val="17"/>
        </w:rPr>
        <w:t>Robinhood ESG Fact Sheet 2024 / Sustainalytics — ESG risk rating, Scope 2 emissions, employee resource groups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HOOD,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