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HPP</w:t>
      </w:r>
      <w:r>
        <w:rPr>
          <w:rFonts w:ascii="Calibri" w:hAnsi="Calibri"/>
          <w:b/>
          <w:color w:val="1A2010"/>
          <w:sz w:val="40"/>
        </w:rPr>
        <w:t xml:space="preserve">  Hudson Pacific Properties, Inc.</w:t>
      </w:r>
    </w:p>
    <w:p>
      <w:pPr>
        <w:spacing w:after="120"/>
      </w:pPr>
      <w:r>
        <w:rPr>
          <w:rFonts w:ascii="Calibri" w:hAnsi="Calibri"/>
          <w:b/>
          <w:color w:val="6E8450"/>
          <w:sz w:val="18"/>
        </w:rPr>
        <w:t>GROWTH SLEEVE · 2026-04-27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Hudson Pacific Properties is a REIT focused on tech and media tenants in West Coast markets including San Francisco, Silicon Valley, Seattle, and Los Angeles. The portfolio includes office properties and studio/sound stage assets, targeting the intersection of technology and entertainment industries with high-quality, amenitized workspace.</w:t>
      </w:r>
    </w:p>
    <w:p>
      <w:r>
        <w:rPr>
          <w:rFonts w:ascii="Calibri" w:hAnsi="Calibri"/>
          <w:b/>
          <w:color w:val="6E8450"/>
          <w:sz w:val="18"/>
        </w:rPr>
        <w:t>607 Employees · https://www.HudsonPacificProperties.com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revenue of $256M beat estimates significantly (vs. $168M expected), but this was inflated by the Element LA lease termination fee rather than organic growth [1]. FY2026 FFO guidance of $0.96-$1.06 per share reflects management's expectation of sequential recovery beginning Q2 2026, though the company remains deeply unprofitable on a GAAP basis [1]. AI Deployment (0/2): HPP is a traditional REIT with no meaningful AI integration in operations — the AI relevance is purely through tenant demand from AI companies like Databricks and Tools for Humanity leasing office space [3]. Market Share (1/2): HPP holds premium positions in West Coast tech hubs (San Francisco, Silicon Valley, Seattle) and owns unique studio/sound stage assets in LA, but office occupancy guidance of 80-82% reflects the persistent post-pandemic vacancy challenge [1]. Pipeline (1/2): The AI-driven office demand recovery is a real catalyst — management targeting $200M-$300M of asset sales to deleverage while AI tenants drive leasing [1][3]. R&amp;D Intensity (1/1): Investment in sustainability (100% renewable electricity, LEED certifications) and property amenitization differentiates the portfolio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HPP's mission to create vibrant tech and media workspace is functional but lacks broader social purpose beyond serving high-end corporate tenants in premium markets [4]. CEO Victor Coleman has led since 2010 but faces questions about leadership effectiveness given the stock's 90%+ decline from 2022 highs. Community Impact (1/2): The company employs 607 people and contributes to urban revitalization through its Better Blueprint ESG platform, including a $500K donation to Union Rescue Mission and investment in climate tech [4]. The studio assets support LA's entertainment ecosystem. Employee Retention (0/2): Glassdoor rating of 3.3/5.0 with 3.2 for culture/values is below average. Reviews cite an inner circle from the CEO's previous company that blocks advancement for outsiders, suggesting a cliquish, non-meritocratic culture [3]. Insider Buying (1/2): Management maintains equity alignment and has linked executive compensation to ESG metrics, though the stock's precipitous decline has destroyed significant insider wealth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HPP's financial profile reflects severe distress for an office REIT. The company has no trailing P/E (negative earnings) and forward P/E of -2.5x indicates analysts expect continued losses through FY2026 [5]. Trailing EPS of -$12.81 and profit margin of -66.4% reflect massive impairments and operating losses [5]. D/E of 117.4% with $3.76B total debt against just $142M cash is heavily leveraged, though management notes 100% of debt is fixed/capped with no maturities until H2 2026 [1][5]. ROE of -18.6% confirms value destruction. Revenue growth of 23.6% was driven by one-time lease termination fees, not sustainable organic growth. The dividend has been suspended (previously yielded ~6.3% on a 5-year average), eliminating a key REIT value proposition [5]. Liquidity floor cleared: 1.39M avg vol × $8.48 = $11.8M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HPP demonstrates some infinite game qualities through its long-term commitment to sustainability, its willingness to pivot toward AI tenant demand, and its Better Blueprint ESG platform. However, the company's severe financial distress, suspended dividend, and reactive strategic posture during the office market downturn suggest a company fighting for survival rather than playing the long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Creating world-class workspace for tech and media tenants is a valid but narrow cause that serves primarily high-end corporate clients rather than broader stakeholders [4]. The Better Blueprint platform adds depth with sustainability commitments (100% renewable electricity, science-based emissions targets), but the cause has been overshadowed by the imperative to survive the office market downturn.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3.3/5.0 with complaints about cliquish culture and an inner circle from the CEO's prior company that blocks outsiders' advancement suggests trust deficits [3]. With only 607 employees, the impact of cultural dysfunction is amplified. The board-level Sustainability Committee and ESG-linked executive compensation show governance sophistication, but employee sentiment indicates disconnect between leadership vision and frontline experience.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 competes with Kilroy Realty, Vornado, and Boston Properties in West Coast office markets. The company differentiates through its unique tech+media+studio positioning but has not demonstrated the adaptive responses to competition that characterize infinite players. The strategic pivot to capitalize on AI tenant demand is a reactive response to market forces rather than proactive rival study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HPP has shown meaningful flexibility through strategic asset sales ($200M-$300M targeted in 2026), the pivot to emphasize AI tenant demand, and the earlier expansion into studio/sound stage assets as a hedge against pure office exposure [1]. The willingness to suspend the dividend and deleverage rather than stretch to maintain it shows pragmatic survival instincts. The Better Blueprint sustainability platform represents forward-looking repositioning.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courage in suspending the dividend rather than depleting capital, and in maintaining a $1B liquidity position despite the downturn [1]. However, the company's 90%+ stock decline from 2022 highs raises questions about whether leadership was too slow to recognize and respond to the post-pandemic office market shift. The $200M-$300M asset sale program is necessary but defensive rather than visionary.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HPP is a deeply contrarian play on the West Coast office recovery, trading at just $460M market cap — a fraction of the portfolio's replacement cost — with AI-driven leasing demand providing a potential inflection catalyst [1][3]. The company reported Q4 2025 revenue of $256M (beating estimates by 52%) and guided FY2026 FFO of $0.96-$1.06 with sequential improvement starting Q2 2026, suggesting the trough may be forming [1]. AI companies like Databricks and Tools for Humanity are driving new lease signings in HPP's core San Francisco, Silicon Valley, and Seattle markets, where AI is the fastest-growing source of office demand [3]. Management has stabilized the balance sheet with $1B liquidity, 100% fixed/capped debt, and no maturities until H2 2026, while targeting $200M-$300M of FFO-accretive asset sales [1]. The studio/sound stage portfolio provides entertainment industry exposure that diversifies beyond pure office risk.</w:t>
      </w:r>
    </w:p>
    <w:p>
      <w:pPr>
        <w:spacing w:after="120"/>
      </w:pPr>
      <w:r>
        <w:rPr>
          <w:rFonts w:ascii="Calibri" w:hAnsi="Calibri"/>
          <w:b w:val="0"/>
          <w:color w:val="3A4A28"/>
          <w:sz w:val="20"/>
        </w:rPr>
        <w:t>The bear case is severe and reflects deep fundamental distress. Trailing EPS of -$12.81, profit margin of -66.4%, and ROE of -18.6% indicate a company that has destroyed enormous value — the stock has declined over 90% from 2022 highs [5]. D/E of 117% with $3.76B debt against $142M cash creates significant financial risk, and debt maturities beginning H2 2026 represent a near-term refinancing hurdle. The suspended dividend eliminates the income thesis that traditionally supports REIT valuations, and the 5-year average yield of 6.3% is gone. Office occupancy guidance of 80-82% remains well below pre-pandemic levels, and structural remote work trends may permanently impair demand for West Coast office space. Glassdoor ratings of 3.3/5.0 and complaints about cliquish culture suggest organizational challenges during a period requiring exceptional execution [3]. The beta of 1.53 amplifies market downside, and the negative forward P/E indicates no near-term path to GAAP profitability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demand accelerating in San Francisco and Silicon Valley — companies like Databricks and Tools for Humanity driving best leasing activity since 2019 [3]</w:t>
      </w:r>
    </w:p>
    <w:p>
      <w:pPr>
        <w:spacing w:before="40" w:after="40"/>
        <w:ind w:left="283"/>
      </w:pPr>
      <w:r>
        <w:rPr>
          <w:rFonts w:ascii="Calibri" w:hAnsi="Calibri"/>
          <w:b/>
          <w:color w:val="4A6B25"/>
          <w:sz w:val="20"/>
        </w:rPr>
        <w:t xml:space="preserve">2. </w:t>
      </w:r>
      <w:r>
        <w:rPr>
          <w:rFonts w:ascii="Calibri" w:hAnsi="Calibri"/>
          <w:b w:val="0"/>
          <w:color w:val="3A4A28"/>
          <w:sz w:val="20"/>
        </w:rPr>
        <w:t>Sequential FFO improvement beginning Q2 2026 with full-year guidance of $0.96-$1.06, suggesting operational trough is forming [1]</w:t>
      </w:r>
    </w:p>
    <w:p>
      <w:pPr>
        <w:spacing w:before="40" w:after="40"/>
        <w:ind w:left="283"/>
      </w:pPr>
      <w:r>
        <w:rPr>
          <w:rFonts w:ascii="Calibri" w:hAnsi="Calibri"/>
          <w:b/>
          <w:color w:val="4A6B25"/>
          <w:sz w:val="20"/>
        </w:rPr>
        <w:t xml:space="preserve">3. </w:t>
      </w:r>
      <w:r>
        <w:rPr>
          <w:rFonts w:ascii="Calibri" w:hAnsi="Calibri"/>
          <w:b w:val="0"/>
          <w:color w:val="3A4A28"/>
          <w:sz w:val="20"/>
        </w:rPr>
        <w:t>Strategic asset sales of $200M-$300M targeting FFO-accretive deleveraging to reduce the $3.76B debt burden and strengthen the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financial distress — trailing EPS of -$12.81, D/E of 117%, and $3.76B debt with H2 2026 maturities approaching create refinancing and solvency risk [5]</w:t>
      </w:r>
    </w:p>
    <w:p>
      <w:pPr>
        <w:spacing w:before="40" w:after="40"/>
        <w:ind w:left="283"/>
      </w:pPr>
      <w:r>
        <w:rPr>
          <w:rFonts w:ascii="Calibri" w:hAnsi="Calibri"/>
          <w:b/>
          <w:color w:val="4A6B25"/>
          <w:sz w:val="20"/>
        </w:rPr>
        <w:t xml:space="preserve">2. </w:t>
      </w:r>
      <w:r>
        <w:rPr>
          <w:rFonts w:ascii="Calibri" w:hAnsi="Calibri"/>
          <w:b w:val="0"/>
          <w:color w:val="3A4A28"/>
          <w:sz w:val="20"/>
        </w:rPr>
        <w:t>Structural remote work headwinds — office occupancy guidance of 80-82% may represent a permanent impairment to West Coast office demand, not a cyclical trough [1]</w:t>
      </w:r>
    </w:p>
    <w:p>
      <w:pPr>
        <w:spacing w:before="40" w:after="40"/>
        <w:ind w:left="283"/>
      </w:pPr>
      <w:r>
        <w:rPr>
          <w:rFonts w:ascii="Calibri" w:hAnsi="Calibri"/>
          <w:b/>
          <w:color w:val="4A6B25"/>
          <w:sz w:val="20"/>
        </w:rPr>
        <w:t xml:space="preserve">3. </w:t>
      </w:r>
      <w:r>
        <w:rPr>
          <w:rFonts w:ascii="Calibri" w:hAnsi="Calibri"/>
          <w:b w:val="0"/>
          <w:color w:val="3A4A28"/>
          <w:sz w:val="20"/>
        </w:rPr>
        <w:t>AI disruption to studio assets — AI-generated content and virtual production could reduce demand for physical sound stages, threatening the entertainment portfolio hedge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HPP faces a unique dual dynamic with AI. On one hand, AI-driven companies are the primary source of new office leasing demand in HPP's core markets — Databricks, Tools for Humanity, and other AI firms have signed significant leases, and management calls AI demand a 'significant catalyst' for recovery [3]. On the other hand, AI enables remote work tools, virtual collaboration, and productivity without office presence, which is the fundamental challenge facing all office REITs post-pandemic. HPP's 80-82% occupancy guidance reflects this structural headwind. The studio/sound stage portfolio faces AI disruption through AI-generated content reducing demand for physical production space. AI Opportunity (1/1): HPP is positioned as a direct beneficiary of the AI boom's physical footprint — AI companies need office space, and HPP's premium West Coast locations are precisely where these tenants cluster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Hudson Pacific Properties Q4 2025 Results — $256M revenue (beat $168M estimate), FY2026 FFO guidance $0.96-$1.06, February 2026</w:t>
      </w:r>
    </w:p>
    <w:p>
      <w:pPr>
        <w:spacing w:before="20" w:after="20"/>
        <w:ind w:left="170"/>
      </w:pPr>
      <w:r>
        <w:rPr>
          <w:rFonts w:ascii="Calibri" w:hAnsi="Calibri"/>
          <w:b/>
          <w:color w:val="4A6B25"/>
          <w:sz w:val="15"/>
        </w:rPr>
        <w:t xml:space="preserve">2. </w:t>
      </w:r>
      <w:r>
        <w:rPr>
          <w:rFonts w:ascii="Calibri" w:hAnsi="Calibri"/>
          <w:b w:val="0"/>
          <w:color w:val="3A4A28"/>
          <w:sz w:val="17"/>
        </w:rPr>
        <w:t>Hudson Pacific Properties Q4 2025 Earnings Call — leasing recovery, $1B liquidity, $200M-$300M asset sales, GuruFocus, March 2026</w:t>
      </w:r>
    </w:p>
    <w:p>
      <w:pPr>
        <w:spacing w:before="20" w:after="20"/>
        <w:ind w:left="170"/>
      </w:pPr>
      <w:r>
        <w:rPr>
          <w:rFonts w:ascii="Calibri" w:hAnsi="Calibri"/>
          <w:b/>
          <w:color w:val="4A6B25"/>
          <w:sz w:val="15"/>
        </w:rPr>
        <w:t xml:space="preserve">3. </w:t>
      </w:r>
      <w:r>
        <w:rPr>
          <w:rFonts w:ascii="Calibri" w:hAnsi="Calibri"/>
          <w:b w:val="0"/>
          <w:color w:val="3A4A28"/>
          <w:sz w:val="17"/>
        </w:rPr>
        <w:t>Hudson Pacific Properties AI Tenant Demand — Databricks and AI leasing catalyst, Glassdoor 3.3/5.0, AInvest/TheRegistry, 2025-2026</w:t>
      </w:r>
    </w:p>
    <w:p>
      <w:pPr>
        <w:spacing w:before="20" w:after="20"/>
        <w:ind w:left="170"/>
      </w:pPr>
      <w:r>
        <w:rPr>
          <w:rFonts w:ascii="Calibri" w:hAnsi="Calibri"/>
          <w:b/>
          <w:color w:val="4A6B25"/>
          <w:sz w:val="15"/>
        </w:rPr>
        <w:t xml:space="preserve">4. </w:t>
      </w:r>
      <w:r>
        <w:rPr>
          <w:rFonts w:ascii="Calibri" w:hAnsi="Calibri"/>
          <w:b w:val="0"/>
          <w:color w:val="3A4A28"/>
          <w:sz w:val="17"/>
        </w:rPr>
        <w:t>Hudson Pacific Better Blueprint ESG Platform — 100% renewable electricity, science-based emissions targets, Corporate Responsibility Report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HPP (Hudson Pacific Properties),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