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HPQ</w:t>
      </w:r>
      <w:r>
        <w:rPr>
          <w:rFonts w:ascii="Calibri" w:hAnsi="Calibri"/>
          <w:b/>
          <w:color w:val="1A2010"/>
          <w:sz w:val="40"/>
        </w:rPr>
        <w:t xml:space="preserve">  HP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2026-03-24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Computer Hardware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HP Inc. is the world's leading provider of personal computers and printing solutions, operating in Personal Systems (PC hardware, workstations) and Printing (consumer and commercial printers, ink/toner supplies). Q1 FY2026 revenue was $14.4B (+6.9% YoY), with Personal Systems growing 11% driven by AI PC adoption. CEO Bruce Broussard serves as Interim CEO following Enrique Lores' departure in February 2026; a permanent CEO search is underway.</w:t>
      </w:r>
    </w:p>
    <w:p>
      <w:r>
        <w:rPr>
          <w:rFonts w:ascii="Calibri" w:hAnsi="Calibri"/>
          <w:b/>
          <w:color w:val="6E8450"/>
          <w:sz w:val="18"/>
        </w:rPr>
        <w:t>58,000 Employees · https://www.hp.com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HP's AI PC strategy is gaining market traction — 35% of Q1 FY2026 shipments are AI PCs, expected to reach 50% by year-end, representing a genuine product cycle upgrade [1]. The partnership with OpenAI to integrate AI agents directly into EliteBook series is a specific, named product pipeline with commercial visibility [2]. The 'fiscal 2026 plan' targeting $1B in AI-driven efficiency savings by end of FY2028 through 4,000–6,000 headcount reductions demonstrates AI deployment at operational scale [2]. However, printing revenue declined 2% YoY and HP's core innovation in ink subscriptions and commercial printing is incremental, not transformative. R&amp;D is competitive but not above industry average for IT hardware.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HP's purpose — 'to create technology that makes life better for everyone, everywhere' — is aspirational and connects its products to human empowerment [3]. The company has used over 5 billion pounds of circular materials since 2019 and leads in sustainable printing technology. However, the sudden CEO departure (Lores stepping down without a permanent replacement) and the $650M restructuring charge against 4,000–6,000 employees reflect a company in strategic transition, not confident mission execution [2]. Dividend payments of $600M+ in Q1 FY2026 demonstrate consistent capital return discipline.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HP generated $14.4B Q1 FY2026 revenue (+6.9% YoY) with non-GAAP EPS of $0.81 (+9% YoY) and free cash flow guidance of $2.8–3.0B for FY2026 [1]. The company has paid dividends for 35+ consecutive years with consistent growth, qualifying for the Dividend sleeve. D/E is moderate for a mature technology company. Forward P/E of ~10x reflects market skepticism about the PC refresh cycle amid memory inflation headwinds. DRAM/NAND prices (35% of PC BOM, up from 15-18%) are compressing margins and could persist through FY2027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HP has navigated multiple existential cycles — the original HP split in 2015, the PC market collapse and recovery, and now the AI transition — showing genuine resilience and strategic flexibility. However, the $650M restructuring against 4,000–6,000 employees framed as an AI-efficiency play, combined with the abrupt CEO departure, suggest a company responding to financial pressure rather than proactively building for the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HP's cause — 'creating technology that makes life better for everyone, everywhere' — has been consistently applied through its 85-year history, from calculators to PCs to printers to AI PCs [3]. The company's circular materials commitment (5B+ pounds since 2019) and HP Solutions services franchise demonstrate a purpose that extends beyond hardware transactions.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HP's dividend consistency (35+ consecutive years), stable employee base despite restructuring, and Lores' positive 36-year tenure acknowledgment suggest an organization that treats employees with respect even through difficult transitions. The 4,000–6,000 job cuts are being executed with $650M in severance provisions rather than abrupt layoffs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HP explicitly benchmarks against Dell, Lenovo, and Canon in its competitive positioning, and the AI PC strategy was accelerated by Microsoft's Copilot+ PC initiative and Apple's M-series processor performance — evidence of competitors driving HP's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2015 split from Hewlett-Packard Enterprise was a genuine existential pivot that separated HP's consumer and printing businesses from the enterprise hardware and services units. HP Inc.'s subsequent AI PC strategy represents ongoing model evolution.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Committing to $1B in AI-driven operational savings while simultaneously investing in OpenAI partnerships and AI PC product development demonstrates willingness to cannibalize existing headcount for long-term efficiency. The $650M restructuring charge during a period of CEO transition shows financial conviction.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HP offers an attractive combination of a 4.1% dividend yield, $2.8–3.0B annual free cash flow, and a 9.8x forward P/E — the PC refresh cycle driven by Windows 11 and AI PC adoption is generating 11% commercial PS revenue growth that the market is not fully pricing [1]. The $1B in targeted AI-driven cost savings by FY2028, combined with $600M+ in quarterly shareholder returns, makes HP a compelling capital return story. The 10-year dividend growth record (10 consecutive years of growth) and 35+ years of payment history provide income security.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secular printing decline and the memory inflation crisis: printing revenue fell 2% YoY with consumer printing down 8%, and DRAM/NAND prices have risen to 35% of PC BOM from 15-18%, creating a $500M+ annual headwind that may persist through FY2027 [1]. The CEO transition creates strategic uncertainty — HP is executing a major restructuring, OpenAI partnership, and AI PC transition simultaneously without permanent leadership. The faith alignment score of -67 (MISALIGNED) is a significant concern. PC unit TAM is expected to decline double digits in calendar 2026, potentially reversing the Q1 growth momentum if tariffs hit consumer demand.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Windows 11 AI PC refresh cycle: 35% of Q1 FY2026 shipments are AI PCs, expected to grow to 50% by year-end — if commercial enterprises accelerate refresh cycles, HP could sustain 10%+ PS revenue growth through FY2027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OpenAI EliteBook integration: AI agents embedded directly in HP hardware create recurring software revenue streams and differentiate HP from commodity PC competitors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Memory inflation reversal: DRAM/NAND prices returning toward 18% of PC BOM from current 35% would restore $300-400M in annual gross profit — a significant catalyst if memory cycle turns in H2 2026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Memory inflation persistence: DRAM/NAND prices remaining at 35% of BOM through FY2027 would compress Personal Systems margins to near-zero, potentially forcing below-guidance annual non-GAAP EPS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Printing secular decline accelerating: if consumer printing units continue declining at 8% YoY while ink supplies revenue stays negative, the $3B+ annual printing segment could shrink to $2B within 3 years, eliminating the highest-margin revenue stream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transition risk: permanent CEO replacement may bring strategic pivots (M&amp;A, segment divestitures, product repositioning) that disrupt the current AI PC and cost reduction execution — strategic discontinuity has historically compressed HP's multiple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HP faces a genuine AI disruption challenge in its core printing business — AI-generated content and digital workflows are accelerating paperless adoption, reducing print volumes structurally [2]. In PCs, AI is both an opportunity (AI PC refresh cycle driving 11% Q1 growth) and a risk (AI tools could extend PC replacement cycles by making older hardware more productive) [1]. The printing supplies business — HP's highest-margin segment — is most vulnerable to secular decline. HP's partnership with OpenAI for EliteBook AI integration partially offsets, but the company is adapting, not leading, the AI transition.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HP Inc. Q1 FY2026 Earnings Release,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HP Inc. — HP Leadership Transition Announcement, February 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HP Inc. Corporate Sustainability and Purpose Report,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