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w:t>
      </w:r>
      <w:r>
        <w:rPr>
          <w:rFonts w:ascii="Calibri" w:hAnsi="Calibri"/>
          <w:b/>
          <w:color w:val="1A2010"/>
          <w:sz w:val="40"/>
        </w:rPr>
        <w:t xml:space="preserve">  Helmerich &amp; Payne, Inc.</w:t>
      </w:r>
    </w:p>
    <w:p>
      <w:pPr>
        <w:spacing w:after="120"/>
      </w:pPr>
      <w:r>
        <w:rPr>
          <w:rFonts w:ascii="Calibri" w:hAnsi="Calibri"/>
          <w:b/>
          <w:color w:val="6E8450"/>
          <w:sz w:val="18"/>
        </w:rPr>
        <w:t>DIVIDEND SLEEVE · 2026-04-23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NYSE · United States</w:t>
      </w:r>
    </w:p>
    <w:p>
      <w:pPr>
        <w:spacing w:after="80"/>
      </w:pPr>
      <w:r>
        <w:rPr>
          <w:rFonts w:ascii="Calibri" w:hAnsi="Calibri"/>
          <w:b w:val="0"/>
          <w:color w:val="3A4A28"/>
          <w:sz w:val="20"/>
        </w:rPr>
        <w:t>Helmerich &amp; Payne is a global drilling solutions provider for oil and gas exploration and production companies. Operating through North America Solutions, Offshore Solutions, and International Solutions segments, the company fields the largest active rig count following its 2025 acquisition of KCA Deutag. H&amp;P is headquartered in Tulsa, Oklahoma and was founded in 1920.</w:t>
      </w:r>
    </w:p>
    <w:p>
      <w:r>
        <w:rPr>
          <w:rFonts w:ascii="Calibri" w:hAnsi="Calibri"/>
          <w:b/>
          <w:color w:val="6E8450"/>
          <w:sz w:val="18"/>
        </w:rPr>
        <w:t>15,700 Employees · https://www.hpinc.com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H&amp;P completed the transformative KCA Deutag acquisition in April 2025, doubling its international footprint and creating the world's largest onshore drilling company by rig count [1]. Revenue surged 50.2% YoY to $4.09B as a result, though organic growth is modest in a cyclically weak U.S. drilling market. AI Deployment (1/2): H&amp;P deploys FlexFusion drilling automation technology combining machine learning, AI-controlled mud logging, and robotic pipe handling to optimize drilling operations and reduce nonproductive time [3]. These are internally deployed operational tools rather than customer-facing AI products. Market Share (2/2): H&amp;P now operates the largest active rig count globally following the KCA Deutag acquisition, with dominant North America super-spec rig market share and expanding international presence — 24 rigs expected in Saudi Arabia by mid-2026 [3]. Pipeline (1/2): International expansion into Saudi Arabia (7 rigs reactivated), Middle East, and Argentina provides visible growth runway, though specific revenue targets are vague [3]. R&amp;D Intensity (0/1): R&amp;D spending is modest relative to revenue, typical of the drilling services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H&amp;P's stated purpose centers on 'delivering drilling solutions that optimize well economics' — clear but not distinctive or inspirational beyond the obvious industry function. Community Impact (1/2): H&amp;P publishes a sustainability report aligned with SASB, GRI, and TCFD frameworks and maintains community programs in Tulsa, though specific dollar amounts for charitable giving are not prominently disclosed [4]. The company also owns commercial real estate including a shopping center, providing community infrastructure. Employee Retention (1/2): Mixed Glassdoor reviews cite 'brilliant engineering minds' and good benefits but also describe favoritism and 'non-existent' culture at some levels [2]. Founded in 1920, the company's longevity suggests baseline retention. Insider Buying (1/2): CEO Trey Adams was appointed March 2026, too recent to assess insider buying patterns; the Helmerich family has historically maintained significant equity stakes aligning ownership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H&amp;P's financial profile reflects KCA Deutag integration challenges and cyclical drilling market headwinds. Revenue of $4.09B (50.2% YoY growth) is acquisition-driven, while the company posted a net loss with trailing EPS of -$3.19 and profit margin of -7.7% [5]. D/E of 75.2% is manageable post-acquisition. Forward P/E of 33.9x is elevated for a cyclical driller, though forward EPS of $1.07 implies a recovery trajectory. The 40-year dividend payment history is impressive, but the dividend has been cut multiple times — from $2.84 in 2019 to $1.00 currently — with no consecutive years of growth and a negative 5yr CAGR of -12.2% [5]. Payout ratio of 60.9% is stretched given negative trailing earnings. ROE is -11.0%, reflecting the loss year. Liquidity floor cleared at $58.7M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H&amp;P demonstrates mixed infinite game characteristics — a 106-year operating history and patient international expansion suggest long-term orientation, but the company's strategy is heavily shaped by commodity cycles and the KCA Deutag acquisition appears opportunistic rather than cause-driven. The recent CEO transition to Trey Adams in March 2026 creates uncertainty about long-term strategic direction.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H&amp;P's purpose revolves around 'delivering drilling solutions' — functional but lacking a compelling vision of a future worth sacrificing for (1 point). The company has survived 106 years of energy cycles, suggesting some enduring purpose, but the mission reads as industry-standard rather than transformative. The international expansion story ('early innings of a long game') hints at cause but remains commercially framed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with some concerns (1 point). The company attracts 'brilliant engineering minds' and maintains good benefits, but Glassdoor reviews describe favoritism, 'sycophant culture,' and employees feeling 'like just a number' [2]. The March 2026 CEO transition from established leadership to Trey Adams creates organizational uncertainty, though the transition appears orderly.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H&amp;P's KCA Deutag acquisition demonstrates a willingness to learn from and incorporate rival capabilities rather than simply trying to destroy competitors (1 point). Management's framing of the international opportunity as 'early innings' suggests a learning mindset, and the company positions its technology (FlexFusion) as a competitive advantage to improve rather than to crush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 point). H&amp;P has evolved from a domestic U.S. driller to a global drilling powerhouse through the KCA Deutag acquisition, entering new geographies including Saudi Arabia, the North Sea, and South America [3]. However, the core business model remains unchanged — contract drilling — and the company hasn't fundamentally reinvented itself despite 106 years of operation.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 point). The KCA Deutag acquisition was a bold $2B+ bet that doubled H&amp;P's global footprint during a period of drilling market uncertainty [1]. Maintaining the dividend through multiple cycles (40 consecutive years of payment) shows commitment, though the repeated dividend cuts suggest the courage was incomplete — leadership eventually capitulated to near-term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Helmerich &amp; Payne is the world's largest onshore drilling company by active rig count following the April 2025 KCA Deutag acquisition, which drove revenue to $4.09B (up 50.2% YoY) and created a global platform spanning North America, the Middle East, and offshore markets [1]. The company's FlexFusion automation technology differentiates it from commodity drillers, and the international expansion — particularly 24 rigs expected in Saudi Arabia by mid-2026 — provides a visible multi-year growth runway [3]. At $36.41, the stock trades near book value (P/B 1.4x) and management has guided for EBITDA recovery with H2 2026 activity improvements, offering significant upside if integration succeeds and energy markets stabilize [1].</w:t>
      </w:r>
    </w:p>
    <w:p>
      <w:pPr>
        <w:spacing w:after="120"/>
      </w:pPr>
      <w:r>
        <w:rPr>
          <w:rFonts w:ascii="Calibri" w:hAnsi="Calibri"/>
          <w:b w:val="0"/>
          <w:color w:val="3A4A28"/>
          <w:sz w:val="20"/>
        </w:rPr>
        <w:t>The bear case centers on cyclical and integration risk. H&amp;P posted a net loss in Q1 2026 with EPS of -$0.98, impacted by noncash impairment charges related to the KCA Deutag integration [1]. The U.S. drilling market remains soft with rig count pressure, and the forward P/E of 33.9x implies modest near-term earnings recovery that may not materialize if oil prices decline. The dividend has been cut from $2.84 to $1.00 over five years, destroying income reliability, and the 60.9% payout ratio is unsustainable on negative trailing earnings [5]. D/E of 75% reflects acquisition debt that must be serviced during a downturn. Management's 'back-half recovery' guidance for 2026 is optimistic and depends on commodity prices and international contract awards that are not guaranteed. The March 2026 CEO transition adds execution risk during a critical integration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expansion ramp — 24 rigs operating in Saudi Arabia by mid-2026 and early-innings growth in Middle East, Argentina, and offshore markets [1][3]</w:t>
      </w:r>
    </w:p>
    <w:p>
      <w:pPr>
        <w:spacing w:before="40" w:after="40"/>
        <w:ind w:left="283"/>
      </w:pPr>
      <w:r>
        <w:rPr>
          <w:rFonts w:ascii="Calibri" w:hAnsi="Calibri"/>
          <w:b/>
          <w:color w:val="4A6B25"/>
          <w:sz w:val="20"/>
        </w:rPr>
        <w:t xml:space="preserve">2. </w:t>
      </w:r>
      <w:r>
        <w:rPr>
          <w:rFonts w:ascii="Calibri" w:hAnsi="Calibri"/>
          <w:b w:val="0"/>
          <w:color w:val="3A4A28"/>
          <w:sz w:val="20"/>
        </w:rPr>
        <w:t>KCA Deutag integration synergy realization — management expects cost savings and operational efficiencies to improve margins in H2 2026 [1]</w:t>
      </w:r>
    </w:p>
    <w:p>
      <w:pPr>
        <w:spacing w:before="40" w:after="40"/>
        <w:ind w:left="283"/>
      </w:pPr>
      <w:r>
        <w:rPr>
          <w:rFonts w:ascii="Calibri" w:hAnsi="Calibri"/>
          <w:b/>
          <w:color w:val="4A6B25"/>
          <w:sz w:val="20"/>
        </w:rPr>
        <w:t xml:space="preserve">3. </w:t>
      </w:r>
      <w:r>
        <w:rPr>
          <w:rFonts w:ascii="Calibri" w:hAnsi="Calibri"/>
          <w:b w:val="0"/>
          <w:color w:val="3A4A28"/>
          <w:sz w:val="20"/>
        </w:rPr>
        <w:t>FlexFusion automation technology adoption driving premium pricing and market share gains in North America super-spec rig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$60/bbl would compress U.S. rig counts further, reducing North America Solutions segment revenue which remains the largest earnings contributor [1]</w:t>
      </w:r>
    </w:p>
    <w:p>
      <w:pPr>
        <w:spacing w:before="40" w:after="40"/>
        <w:ind w:left="283"/>
      </w:pPr>
      <w:r>
        <w:rPr>
          <w:rFonts w:ascii="Calibri" w:hAnsi="Calibri"/>
          <w:b/>
          <w:color w:val="4A6B25"/>
          <w:sz w:val="20"/>
        </w:rPr>
        <w:t xml:space="preserve">2. </w:t>
      </w:r>
      <w:r>
        <w:rPr>
          <w:rFonts w:ascii="Calibri" w:hAnsi="Calibri"/>
          <w:b w:val="0"/>
          <w:color w:val="3A4A28"/>
          <w:sz w:val="20"/>
        </w:rPr>
        <w:t>KCA Deutag integration execution risk — noncash impairment charges already taken in Q1 2026, and combining two global drilling organizations creates operational and cultural challenges [1]</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 current $1.00 annual dividend requires positive earnings recovery; further cuts would erode investor confidence and the stock's income appeal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H&amp;P's core business — deploying and operating physical drilling rigs in oil fields, offshore platforms, and international locations — is structurally immune to AI substitution. Drilling requires massive capital equipment, skilled field personnel, and real-world physical operations that AI cannot replace [3]. The business is further protected by long-term rig contracts, regulatory requirements, and the essential nature of oil and gas production for global energy supply. AI is purely an enabler for H&amp;P, improving drilling efficiency through automation and data analytics without threatening the underlying business model. AI Opportunity (1/1): H&amp;P generates revenue from its FlexFusion drilling automation platform, which uses AI-controlled systems to optimize drilling operations for E&amp;P customers, creating a technology premium over commodity drillers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Helmerich &amp; Payne Q1 2026 Earnings Release — $1.017B revenue, -$0.98 EPS, $230M adjusted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Helmerich &amp; Payne employee reviews, company culture ratings,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H&amp;P corporate website — FlexFusion drilling automation, KCA Deutag acquisition, international expansion,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H&amp;P 2024 Sustainability Report — ESG metrics aligned with SASB, GRI, TCFD frameworks, December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HP (Helmerich &amp; Payne),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