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HQY</w:t>
      </w:r>
      <w:r>
        <w:rPr>
          <w:rFonts w:ascii="Calibri" w:hAnsi="Calibri"/>
          <w:b/>
          <w:color w:val="1A2010"/>
          <w:sz w:val="40"/>
        </w:rPr>
        <w:t xml:space="preserve">  HealthEquity, Inc.</w:t>
      </w:r>
    </w:p>
    <w:p>
      <w:pPr>
        <w:spacing w:after="120"/>
      </w:pPr>
      <w:r>
        <w:rPr>
          <w:rFonts w:ascii="Calibri" w:hAnsi="Calibri"/>
          <w:b/>
          <w:color w:val="6E8450"/>
          <w:sz w:val="18"/>
        </w:rPr>
        <w:t>GROWTH SLEEVE · 2026-05-05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HealthEquity provides technology-enabled services for health savings accounts (HSAs), flexible spending accounts, and health reimbursement arrangements. Serves 17.8 million accounts with over $36 billion in HSA assets. Platform includes custodial services, interchange revenue, and investment advisory. Remote-first workforce of ~2,800 employees.</w:t>
      </w:r>
    </w:p>
    <w:p>
      <w:r>
        <w:rPr>
          <w:rFonts w:ascii="Calibri" w:hAnsi="Calibri"/>
          <w:b/>
          <w:color w:val="6E8450"/>
          <w:sz w:val="18"/>
        </w:rPr>
        <w:t>2,814 Employees · https://www.healthequity.com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HealthEquity delivered record fiscal 2026 revenue of $1.31B (9% YoY growth) with net income surging 123% to $215.2M, and added 1 million new HSAs from sales for the second consecutive year to reach 17.8M total accounts [1]. The company has successfully transformed from HSA custodian to comprehensive benefits platform. AI Deployment (1/2): HealthEquity has deployed AI to automate claims processing, handling millions of dollars in reimbursements with improved member satisfaction, and won Globee Awards for AI innovation in operational efficiency [2]. Market Share (1/2): HealthEquity is the largest independent HSA custodian with 17.8M accounts and $36B+ in assets, maintaining leadership in a growing market as employer-sponsored health plans increasingly shift to high-deductible options [1]. Pipeline (1/2): FY2027 guidance raised after strong FY2026, with visible growth from HSA asset appreciation, new employer wins, and investment platform expansion [1]. R&amp;D Intensity (1/1): Continuous platform investment in AI-powered claims processing, digital member tools, and investment advisory capabilities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HealthEquity's mission — 'connecting health and wealth' to help American families build savings and make informed healthcare decisions — is specific, distinctive, and validated by 17.8M accounts trusting the platform with $36B+ in assets [1][3]. The Purple Culture is consistently referenced by leadership as a competitive advantage. Community Impact (1/2): Forbes named HealthEquity among America's Dream Employers; the company maintains CSR reports ('Sustainably Purple') with ESG commitments and PurplePAC advocacy organization [3]. Employee Retention (2/2): Former CEO Jon Kessler was named Glassdoor Top CEO in 2021; remote-first culture enables 90%+ work-from-home; company recognized for team-focused culture with employee resource groups (Connections) and comprehensive benefits [2]. Insider Buying (1/2): CEO transition from Jon Kessler to Scott Cutler in January 2025 represents planned succession with continuity of culture, though limited recent insider buying data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HealthEquity demonstrates excellent financial infrastructure with strong balance sheet, improving profitability, and attractive growth valuation. D/E of 47.5% is well below target, forward P/E of 15.4x is very attractive for a company with 9% revenue growth and 123% earnings growth [1][5]. PEG of 1.19 reflects reasonable valuation for growth trajectory. Net income margin improved from 8% to 16% YoY demonstrating strong operating leverage [1]. ROE of 10.2% is approaching target as profitability normalizes. Revenue 5-year CAGR of ~12% reflects consistent organic growth plus WageWorks acquisition integration. Liquidity floor easily cleared: 975K avg vol x $82.18 = $80.1M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HealthEquity exhibits strong infinite game characteristics through its distinctive Purple Culture, mission-driven focus on connecting health and wealth, and investment in platform capabilities that compound over time. The business model itself is inherently infinite — HSA accounts grow with members throughout their lives, creating lifetime relationships. The CEO transition to Scott Cutler represents evolution while maintaining cultural continuity.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HealthEquity's Just Cause — helping American families connect health and wealth — is genuine, distinctive, and validated by consistent execution over 17+ years reaching 17.8M accounts with $36B+ in assets [1][3]. The mission shapes strategic decisions (investment platform, employer partnerships) and is consistently cited by employees and leadership as why they work there. The Purple Culture is a competitive advantage that has survived the CEO transition (2/3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Exceptional evidence of high-trust organizational culture. Remote-first enabling 90%+ work-from-home demonstrates trust in employees; Glassdoor Top CEO recognition for Jon Kessler; Forbes Dream Employer designation; employee resource groups (Connections); comprehensive benefits [2][3]. The Purple Culture is consistently cited as a differentiator in recruitment and retention, creating psychological safety that enables distributed collaboration across 2,814 team members (2/2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HealthEquity frames competition with Fidelity, HSA Bank, and fintech entrants as motivation to improve its platform rather than competitors to destroy [2]. The company's focus on 'remarkable' service and member satisfaction scores positions competitive dynamics as self-improvement rather than market share wars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HealthEquity has evolved from a pure HSA custodian to a comprehensive health benefits platform through the WageWorks acquisition (FSA/HRA) and investment advisory expansion [1]. The company has adapted to interest rate environments by building custodial revenue alongside interchange and service revenue. However, the core identity remains the same — health savings management — representing evolution rather than reinvention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HealthEquity demonstrated courage with the WageWorks acquisition in 2019 ($2B), taking on significant debt to consolidate the benefits platform market during uncertainty [1]. The investment in AI-powered claims processing and remote-first culture adoption pre-pandemic showed forward-thinking leadership. However, no examples of sacrificing near-term earnings for transformative long-term bets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HealthEquity is the dominant independent HSA platform with 17.8M accounts and $36B+ in assets, delivering record FY2026 results — $1.31B revenue (9% growth) with net income surging 123% to $215.2M as margins expanded from 8% to 16% [1]. At 15.4x forward P/E with PEG of 1.19, the stock is attractively valued for a company with durable growth drivers: secular HSA adoption (employer shift to high-deductible plans), custodial revenue benefiting from interest rates, and investment platform expansion. The Purple Culture creates sustainable competitive advantages through employee retention, member satisfaction, and employer relationships that compound annually through enrollment cycles [2]. Adjusted EBITDA grew 20% to $566M, demonstrating operating leverage in a capital-light model.</w:t>
      </w:r>
    </w:p>
    <w:p>
      <w:pPr>
        <w:spacing w:after="120"/>
      </w:pPr>
      <w:r>
        <w:rPr>
          <w:rFonts w:ascii="Calibri" w:hAnsi="Calibri"/>
          <w:b w:val="0"/>
          <w:color w:val="3A4A28"/>
          <w:sz w:val="20"/>
        </w:rPr>
        <w:t>The bear case centers on revenue growth deceleration and interest rate sensitivity. Revenue growth of 9% YoY is moderate for a stock trading at 33x trailing earnings, and custodial revenue ($637M, 49% of total) is sensitive to interest rate direction — rate cuts could compress margins [1]. The CEO transition from founder-era leader Jon Kessler to Scott Cutler in January 2025 introduces execution risk during a critical scaling period. Competition from Fidelity, Optum, and fintech disruptors could pressure pricing and market share in employer HSA administration. EPS of $0.58 in Q4 missed some estimates despite revenue beats, and the company's history of acquisition-driven growth (WageWorks debt) constrains capital allocation flexibility with 47.5% D/E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margin expansion from 16% net income margin toward 20%+ as AI-powered automation reduces per-account servicing costs and custodial revenue scales [1][2]</w:t>
      </w:r>
    </w:p>
    <w:p>
      <w:pPr>
        <w:spacing w:before="40" w:after="40"/>
        <w:ind w:left="283"/>
      </w:pPr>
      <w:r>
        <w:rPr>
          <w:rFonts w:ascii="Calibri" w:hAnsi="Calibri"/>
          <w:b/>
          <w:color w:val="4A6B25"/>
          <w:sz w:val="20"/>
        </w:rPr>
        <w:t xml:space="preserve">2. </w:t>
      </w:r>
      <w:r>
        <w:rPr>
          <w:rFonts w:ascii="Calibri" w:hAnsi="Calibri"/>
          <w:b w:val="0"/>
          <w:color w:val="3A4A28"/>
          <w:sz w:val="20"/>
        </w:rPr>
        <w:t>HSA asset growth compounding — $36B+ growing with contributions, investment returns, and new account additions creating durable custodial revenue flywheel [1]</w:t>
      </w:r>
    </w:p>
    <w:p>
      <w:pPr>
        <w:spacing w:before="40" w:after="40"/>
        <w:ind w:left="283"/>
      </w:pPr>
      <w:r>
        <w:rPr>
          <w:rFonts w:ascii="Calibri" w:hAnsi="Calibri"/>
          <w:b/>
          <w:color w:val="4A6B25"/>
          <w:sz w:val="20"/>
        </w:rPr>
        <w:t xml:space="preserve">3. </w:t>
      </w:r>
      <w:r>
        <w:rPr>
          <w:rFonts w:ascii="Calibri" w:hAnsi="Calibri"/>
          <w:b w:val="0"/>
          <w:color w:val="3A4A28"/>
          <w:sz w:val="20"/>
        </w:rPr>
        <w:t>Raised FY2027 guidance reflecting confidence in sustained growth from new employer wins and deepening existing relationships through platform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 custodial revenue ($637M, 49% of total) depends on cash deposit spread income that would compress in a falling rate environment [1]</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to 9% YoY may not justify 33x trailing P/E, creating multiple compression risk if growth doesn't reaccelerate [5]</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Fidelity and fintech platforms offering lower-cost HSA solutions with superior digital experiences could pressure market share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HealthEquity's HSA custodial business is protected by significant regulatory moats (IRS custodian requirements, FDIC/investment compliance), employer switching costs (benefits enrollment cycles are annual), and the trust-based nature of managing $36B+ in consumer health savings [1]. AI cannot replicate the regulatory infrastructure, banking relationships, or employer integration that form the business moat. However, AI could enable fintech competitors to offer competing HSA platforms with lower costs and better UX. AI Opportunity (1/1): HealthEquity is actively generating value from AI through automated claims processing handling millions of dollars in reimbursements, earning Globee Awards recognition and improving member satisfaction while reducing operational costs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HealthEquity Q4/FY2026 Earnings Release — Record $1.31B revenue, $215.2M net income (123% growth), 17.8M accounts, $36B+ assets, March 2026</w:t>
      </w:r>
    </w:p>
    <w:p>
      <w:pPr>
        <w:spacing w:before="20" w:after="20"/>
        <w:ind w:left="170"/>
      </w:pPr>
      <w:r>
        <w:rPr>
          <w:rFonts w:ascii="Calibri" w:hAnsi="Calibri"/>
          <w:b/>
          <w:color w:val="4A6B25"/>
          <w:sz w:val="15"/>
        </w:rPr>
        <w:t xml:space="preserve">2. </w:t>
      </w:r>
      <w:r>
        <w:rPr>
          <w:rFonts w:ascii="Calibri" w:hAnsi="Calibri"/>
          <w:b w:val="0"/>
          <w:color w:val="3A4A28"/>
          <w:sz w:val="17"/>
        </w:rPr>
        <w:t>HealthEquity corporate website — Awards, Purple Culture, Glassdoor Top CEO, AI claims automation, Forbes Dream Employer, accessed May 2026</w:t>
      </w:r>
    </w:p>
    <w:p>
      <w:pPr>
        <w:spacing w:before="20" w:after="20"/>
        <w:ind w:left="170"/>
      </w:pPr>
      <w:r>
        <w:rPr>
          <w:rFonts w:ascii="Calibri" w:hAnsi="Calibri"/>
          <w:b/>
          <w:color w:val="4A6B25"/>
          <w:sz w:val="15"/>
        </w:rPr>
        <w:t xml:space="preserve">3. </w:t>
      </w:r>
      <w:r>
        <w:rPr>
          <w:rFonts w:ascii="Calibri" w:hAnsi="Calibri"/>
          <w:b w:val="0"/>
          <w:color w:val="3A4A28"/>
          <w:sz w:val="17"/>
        </w:rPr>
        <w:t>HealthEquity CSR Report 'Sustainably Purple' — ESG initiatives, PurplePAC, Connections groups,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HealthEquity Q2 FY2026 Earnings — Record growth in revenue and net income, Adjusted EBITDA $566M for full year, September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HQY,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