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HRL</w:t>
      </w:r>
      <w:r>
        <w:rPr>
          <w:rFonts w:ascii="Calibri" w:hAnsi="Calibri"/>
          <w:b/>
          <w:color w:val="1A2010"/>
          <w:sz w:val="40"/>
        </w:rPr>
        <w:t xml:space="preserve">  Hormel Foods Corporation</w:t>
      </w:r>
    </w:p>
    <w:p>
      <w:pPr>
        <w:spacing w:after="120"/>
      </w:pPr>
      <w:r>
        <w:rPr>
          <w:rFonts w:ascii="Calibri" w:hAnsi="Calibri"/>
          <w:b/>
          <w:color w:val="6E8450"/>
          <w:sz w:val="18"/>
        </w:rPr>
        <w:t>DIVIDEND SLEEVE · 2026-04-01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NYSE · United States</w:t>
      </w:r>
    </w:p>
    <w:p>
      <w:pPr>
        <w:spacing w:after="80"/>
      </w:pPr>
      <w:r>
        <w:rPr>
          <w:rFonts w:ascii="Calibri" w:hAnsi="Calibri"/>
          <w:b w:val="0"/>
          <w:color w:val="3A4A28"/>
          <w:sz w:val="20"/>
        </w:rPr>
        <w:t>Hormel Foods develops, processes, and distributes meat, nuts, and food products through Retail, Foodservice, and International segments. The company's portfolio includes iconic brands such as SPAM, Skippy, Planters, Jennie-O, Applegate, and Columbus. Founded in 1891 and headquartered in Austin, Minnesota, Hormel is a Dividend Aristocrat with 33+ consecutive years of dividend increases.</w:t>
      </w:r>
    </w:p>
    <w:p>
      <w:r>
        <w:rPr>
          <w:rFonts w:ascii="Calibri" w:hAnsi="Calibri"/>
          <w:b/>
          <w:color w:val="6E8450"/>
          <w:sz w:val="18"/>
        </w:rPr>
        <w:t>20,000 Employees · https://www.hormelfoods.com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Hormel's recent product innovation has been incremental — brand extensions, flavor variants, and repositioning existing products rather than transformative launches [1]. The strategic sale of the whole-bird turkey business to reduce commodity exposure is a portfolio move, not innovation. Revenue has been essentially flat for 5 years ($12.1B) [1]. AI Deployment (1/2): Hormel partnered with Mattson (Silicon Valley food innovation firm) to deploy generative AI in food product development, and hired its first CTO (Donald Monk from General Mills/Cargill) effective March 2026 to drive analytics and AI transformation [2]. These are early-stage but specific initiatives. Market Share (1/2): SPAM maintains dominant market share in shelf-stable luncheon meats with strong international growth, and Foodservice segment posted 10 consecutive quarters of organic growth [1]. However, the Retail segment is declining due to strategic exits and competitive pressure. Pipeline (0/2): No specific next-generation products with named launches and timelines were found — the 'Transform &amp; Modernize' initiative is operational, not product pipeline [2]. R&amp;D Intensity (1/1): The hiring of a first-ever CTO and partnership with AI food innovation firms signals increased R&amp;D commitment above historical levels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'Inspired People. Inspired Food.' is a clear and thoughtful purpose statement that connects the company's work to the people behind it, though it lacks the boldness of a truly transformative vision [2]. The statement reflects genuine intentionality about employee experience and product quality. Community Impact (2/2): Hormel has a strong 135-year legacy in Austin, Minnesota, and has released 17 annual Global Impact Reports. The 50,000-acre sustainable agriculture pilot in Minnesota, 100% domestic renewable energy sourcing, and SBTi-validated emissions targets demonstrate significant community and environmental investment [3]. Employee Retention (1/2): Hormel's long-tenured culture is evident — Jeffrey Ettinger returned as interim CEO with deep institutional knowledge from his 2005-2016 CEO tenure, and the company's Austin HQ fosters stability [2]. However, the November 2025 restructuring eliminated ~250 positions and offered voluntary early retirement, introducing uncertainty. Insider Buying (0/2): No evidence of meaningful net insider buying was found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Hormel's balance sheet is a fortress with D/E of just 35.9% ($2.9B debt, $901M cash), well below the 70% target [5]. Forward P/E of 14.3x is attractive for a consumer staples company. Revenue growth is weak at 1.3% YoY with essentially 0% 5yr CAGR, reflecting the challenge of growing a mature food portfolio [1]. ROE of 6.1% is below target, compressed by declining profitability and the Planters acquisition goodwill. Profit margin of 4.0% is thin and declining from 6.4% last year, with earnings declining 8.5% annually over 5 years [1]. However, the dividend profile is exceptional: 33+ consecutive years of increases (Dividend Aristocrat), 37+ years of payments, and ~4% 5yr dividend growth CAGR [1]. The payout ratio of 130.6% on a GAAP basis is unsustainable and scores at floor — though adjusted payout based on guided EPS of $1.43-$1.51 is ~80%, still high. Liquidity easily cleared at $107M daily turnover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Hormel's 135-year history as a family-founded food company, Dividend Aristocrat status, and 'Inspired People. Inspired Food.' purpose reflect genuine long-term orientation. However, the recent CEO transition turmoil (Snee retirement, Ettinger interim return, permanent CEO search), declining profitability, and reactive restructuring suggest a company struggling to maintain its infinite game identity in a challenging competitive environment.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'Inspired People. Inspired Food.' has the right aspiration but hasn't been validated through crisis in the current era. Hormel's 135-year legacy and Dividend Aristocrat streak demonstrate long-term endurance, but the recent years of declining earnings, leadership instability, and restructuring suggest the cause isn't currently driving strategy — financial necessity is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Hormel's long Austin, Minnesota heritage and multi-generational employee base suggest deep institutional trust. Jeffrey Ettinger's return as interim CEO — with the board citing his 'deep understanding of our culture' — indicates the culture still matters to leadership [2]. However, the November 2025 restructuring (250 layoffs, voluntary early retirement) and ongoing permanent CEO search introduce uncertainty.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Hormel's competitive approach focuses on category improvement and brand innovation rather than competitor destruction. The company's willingness to exit noncore businesses (whole-bird turkey, private label snacking) to focus on strengths demonstrates self-awareness about where it can and cannot compete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Hormel has operated the same fundamental business model — processed and branded food products — for 135 years. The Planters acquisition, Jennie-O turkey business, and brand portfolio moves are incremental adjacencies, not existential pivots. The company has not demonstrated transformative strategic flexibility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'Transform &amp; Modernize' initiative under John Ghingo, the hiring of a first CTO, and the AI innovation partnership show willingness to invest in modernization during a difficult earnings period [2]. Exiting the whole-bird turkey business despite short-term revenue loss demonstrates willingness to sacrifice volume for strategic focus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Hormel Foods is a 135-year-old Dividend Aristocrat trading at 14.3x forward P/E with a 5.17% dividend yield supported by 33 consecutive years of increases [1]. Q1 FY2026 showed its fifth consecutive quarter of organic growth (2%), with Foodservice up 7% and strong international SPAM performance [1]. The fortress balance sheet (D/E 35.9%, $901M cash) provides stability, and FY2026 guidance of $1.43-$1.51 adjusted EPS (4-10% growth) signals margin recovery from the Transform &amp; Modernize initiative. The hiring of a first CTO and AI food innovation partnership with Mattson demonstrate commitment to modernization [2]. At $22.65, the stock is near multi-year lows, creating a potential value entry for income investors if the turnaround executes.</w:t>
      </w:r>
    </w:p>
    <w:p>
      <w:pPr>
        <w:spacing w:after="120"/>
      </w:pPr>
      <w:r>
        <w:rPr>
          <w:rFonts w:ascii="Calibri" w:hAnsi="Calibri"/>
          <w:b w:val="0"/>
          <w:color w:val="3A4A28"/>
          <w:sz w:val="20"/>
        </w:rPr>
        <w:t>The bear case highlights structural profitability challenges and execution risk. Earnings have declined 8.5% annually over 5 years, profit margins compressed to 4.0% (from 6.4% last year), and revenue has been flat at ~$12.1B for 5 years [1]. The GAAP payout ratio of 130.6% is unsustainable — the dividend is consuming more than the company earns, creating risk of a cut that would end the 33-year streak. The CEO transition (Snee retirement, Ettinger interim, permanent hire pending in 2026) creates leadership uncertainty during a critical turnaround period [2]. The Retail segment is declining due to strategic exits and shifting consumer preferences toward fresh and less-processed foods. Scope 3 emissions have continued rising despite SBTi targets, and the 'significant' ESG controversy rating from Sustainalytics adds reputational risk [3]. The November 2025 restructuring ($20-25M charges, 250 position cuts) signals financial pressure rather than proactive innovation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Permanent CEO appointment in 2026 providing strategic clarity and ending the leadership transition uncertainty that has weighed on the stock [2]</w:t>
      </w:r>
    </w:p>
    <w:p>
      <w:pPr>
        <w:spacing w:before="40" w:after="40"/>
        <w:ind w:left="283"/>
      </w:pPr>
      <w:r>
        <w:rPr>
          <w:rFonts w:ascii="Calibri" w:hAnsi="Calibri"/>
          <w:b/>
          <w:color w:val="4A6B25"/>
          <w:sz w:val="20"/>
        </w:rPr>
        <w:t xml:space="preserve">2. </w:t>
      </w:r>
      <w:r>
        <w:rPr>
          <w:rFonts w:ascii="Calibri" w:hAnsi="Calibri"/>
          <w:b w:val="0"/>
          <w:color w:val="3A4A28"/>
          <w:sz w:val="20"/>
        </w:rPr>
        <w:t>Transform &amp; Modernize initiative delivering margin improvement — FY2026 guidance targets 4-10% adjusted operating income growth to $1.06-$1.12B [1]</w:t>
      </w:r>
    </w:p>
    <w:p>
      <w:pPr>
        <w:spacing w:before="40" w:after="40"/>
        <w:ind w:left="283"/>
      </w:pPr>
      <w:r>
        <w:rPr>
          <w:rFonts w:ascii="Calibri" w:hAnsi="Calibri"/>
          <w:b/>
          <w:color w:val="4A6B25"/>
          <w:sz w:val="20"/>
        </w:rPr>
        <w:t xml:space="preserve">3. </w:t>
      </w:r>
      <w:r>
        <w:rPr>
          <w:rFonts w:ascii="Calibri" w:hAnsi="Calibri"/>
          <w:b w:val="0"/>
          <w:color w:val="3A4A28"/>
          <w:sz w:val="20"/>
        </w:rPr>
        <w:t>First CTO Donald Monk deploying data analytics and AI across operations, potentially accelerating product innovation cycles and reducing costs in a structurally low-margin business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GAAP payout ratio of 130.6% — if adjusted earnings disappoint versus the $1.43-$1.51 guidance, the 33-year dividend increase streak is at risk, which would devastate income-focused shareholders [1][5]</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shelf-stable and processed food categories as consumers shift toward fresh, less-processed, and plant-based alternatives, pressuring the Retail segment that remains Hormel's largest [1]</w:t>
      </w:r>
    </w:p>
    <w:p>
      <w:pPr>
        <w:spacing w:before="40" w:after="40"/>
        <w:ind w:left="283"/>
      </w:pPr>
      <w:r>
        <w:rPr>
          <w:rFonts w:ascii="Calibri" w:hAnsi="Calibri"/>
          <w:b/>
          <w:color w:val="4A6B25"/>
          <w:sz w:val="20"/>
        </w:rPr>
        <w:t xml:space="preserve">3. </w:t>
      </w:r>
      <w:r>
        <w:rPr>
          <w:rFonts w:ascii="Calibri" w:hAnsi="Calibri"/>
          <w:b w:val="0"/>
          <w:color w:val="3A4A28"/>
          <w:sz w:val="20"/>
        </w:rPr>
        <w:t>Leadership vacuum with interim CEO Jeffrey Ettinger serving a 15-month term while the board searches for a permanent CEO, creating strategic uncertainty during a critical turnaround period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Food production, processing, and distribution involve physical-world operations that AI cannot digitally replicate — no AI system can raise hogs, process meat, or distribute refrigerated products to retail stores [2]. Hormel's business is fundamentally about transforming agricultural inputs into branded consumer food products, requiring physical infrastructure, cold chain logistics, and food safety compliance. Consumer food preferences and brand loyalty are driven by taste and trust, not digital substitution. The company faces no analyst commentary about AI disruption risk. AI Opportunity (0/1): Hormel's AI deployment is limited to internal R&amp;D (generative AI for food innovation with Mattson) and the new CTO's data analytics initiatives — no AI-generated revenue yet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Hormel Foods Q1 FY2026 Earnings Release — $3.03B revenue, $0.34 adjusted EPS, 5th consecutive quarter of organic growth, FY2026 guidance reaffirmed, February 2026</w:t>
      </w:r>
    </w:p>
    <w:p>
      <w:pPr>
        <w:spacing w:before="20" w:after="20"/>
        <w:ind w:left="170"/>
      </w:pPr>
      <w:r>
        <w:rPr>
          <w:rFonts w:ascii="Calibri" w:hAnsi="Calibri"/>
          <w:b/>
          <w:color w:val="4A6B25"/>
          <w:sz w:val="15"/>
        </w:rPr>
        <w:t xml:space="preserve">2. </w:t>
      </w:r>
      <w:r>
        <w:rPr>
          <w:rFonts w:ascii="Calibri" w:hAnsi="Calibri"/>
          <w:b w:val="0"/>
          <w:color w:val="3A4A28"/>
          <w:sz w:val="17"/>
        </w:rPr>
        <w:t>Hormel Foods Leadership — interim CEO Jeffrey Ettinger, President John Ghingo, first CTO Donald Monk (March 2026), Transform &amp; Modernize initiative, AI partnership with Mattson</w:t>
      </w:r>
    </w:p>
    <w:p>
      <w:pPr>
        <w:spacing w:before="20" w:after="20"/>
        <w:ind w:left="170"/>
      </w:pPr>
      <w:r>
        <w:rPr>
          <w:rFonts w:ascii="Calibri" w:hAnsi="Calibri"/>
          <w:b/>
          <w:color w:val="4A6B25"/>
          <w:sz w:val="15"/>
        </w:rPr>
        <w:t xml:space="preserve">3. </w:t>
      </w:r>
      <w:r>
        <w:rPr>
          <w:rFonts w:ascii="Calibri" w:hAnsi="Calibri"/>
          <w:b w:val="0"/>
          <w:color w:val="3A4A28"/>
          <w:sz w:val="17"/>
        </w:rPr>
        <w:t>Hormel Foods Global Impact Report, Sustainalytics ESG Rating — ESG risk score 30 (Medium), significant controversy level, SBTi targets, 50K-acre sustainable agriculture pilot</w:t>
      </w:r>
    </w:p>
    <w:p>
      <w:pPr>
        <w:spacing w:before="20" w:after="20"/>
        <w:ind w:left="170"/>
      </w:pPr>
      <w:r>
        <w:rPr>
          <w:rFonts w:ascii="Calibri" w:hAnsi="Calibri"/>
          <w:b/>
          <w:color w:val="4A6B25"/>
          <w:sz w:val="15"/>
        </w:rPr>
        <w:t xml:space="preserve">4. </w:t>
      </w:r>
      <w:r>
        <w:rPr>
          <w:rFonts w:ascii="Calibri" w:hAnsi="Calibri"/>
          <w:b w:val="0"/>
          <w:color w:val="3A4A28"/>
          <w:sz w:val="17"/>
        </w:rPr>
        <w:t>Hormel Foods Corporate Website — 'Inspired People. Inspired Food.' purpose statement, brand portfolio, segment structure</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HRL (Hormel Foods),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