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HRMY</w:t>
      </w:r>
      <w:r>
        <w:rPr>
          <w:rFonts w:ascii="Calibri" w:hAnsi="Calibri"/>
          <w:b/>
          <w:color w:val="1A2010"/>
          <w:sz w:val="40"/>
        </w:rPr>
        <w:t xml:space="preserve">  Harmony Biosciences Holdings, Inc.</w:t>
      </w:r>
    </w:p>
    <w:p>
      <w:pPr>
        <w:spacing w:after="120"/>
      </w:pPr>
      <w:r>
        <w:rPr>
          <w:rFonts w:ascii="Calibri" w:hAnsi="Calibri"/>
          <w:b/>
          <w:color w:val="6E8450"/>
          <w:sz w:val="18"/>
        </w:rPr>
        <w:t>GROWTH SLEEVE · 2026-04-01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Harmony Biosciences is a commercial-stage pharmaceutical company focused on developing and commercializing therapies for patients with rare neurological diseases. Its lead product WAKIX (pitolisant) is the first and only FDA-approved treatment that increases histamine signaling in the brain for excessive daytime sleepiness and cataplexy in narcolepsy, with a pipeline expanding into Prader-Willi Syndrome, Myotonic Dystrophy, and other rare conditions.</w:t>
      </w:r>
    </w:p>
    <w:p>
      <w:r>
        <w:rPr>
          <w:rFonts w:ascii="Calibri" w:hAnsi="Calibri"/>
          <w:b/>
          <w:color w:val="6E8450"/>
          <w:sz w:val="18"/>
        </w:rPr>
        <w:t>293 Employees · https://www.harmonybiosciences.com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Harmony brought WAKIX from licensing to $868.5M in annual revenue in six consecutive years of growth, secured FDA pediatric narcolepsy approval expanding the addressable market, and built a diversified pipeline across multiple rare neurological indications [1][2]. AI Deployment (0/2): No AI-powered products shipping; the Beacon Biosignals EEG partnership incorporates brain-signal analytics in clinical trials but does not generate AI revenue or quantified savings [2]. Market Share (2/2): WAKIX is the only FDA-approved pitolisant-based therapy for narcolepsy, with ~8,500 average patients on therapy and no direct competition in its mechanism-of-action class; the company is approaching blockbuster status at $1B+ projected 2026 revenue [1]. Pipeline (2/2): Pitolisant GR NDA submission planned for Q2 2026 with anticipated FDA decision Q1 2027; Phase 3 trials in Prader-Willi Syndrome; Phase 2 in Myotonic Dystrophy; plus orexin-2 receptor agonist (BP1.15205) and MCHR1 antagonist (HBS-102) in development — specific timelines and endpoints disclosed [2]. R&amp;D Intensity (1/1): R&amp;D spending is substantial for a 293-employee company, with multiple Phase 2/3 programs running simultaneously across distinct rare disease indications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Harmony's mission centers on 'keeping patients at the heart of all they do' with a specific focus on rare neurological diseases with unmet medical needs — this is specific, thoughtful, and connects the company's work to a genuine purpose that differentiates from generic pharma [2]. CEO Jeffrey Dayno, a physician, reinforces the mission through his clinical background. Community Impact (1/2): The company supports rare disease patient communities through patient access programs and disease awareness initiatives for narcolepsy and related conditions, though no specific dollar amounts for charitable giving were found [2]. Employee Retention (1/2): Harmony was ranked 4th on Forbes' list of America's Best Mid-Sized Companies in 2023, and the company culture is described as 'innovative, empathetic, inclusive and collaborative,' suggesting above-average workplace quality for a company of 293 employees [2]. Insider Buying (0/2): Net insider selling of 50,640 shares worth $1.9M over the last 90 days; CFO Sandip Kapadia fully liquidated his direct holdings of $752,800 in January 2026, though under a pre-planned 10b5-1 trading plan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HRMY's financial profile is exceptional for a commercial-stage biotech. D/E of 19.4% is extremely low, scoring 1.0 (1x weight) [6]. ROE of 20.75% exceeds the 15% target, scoring 1.0 (2x weight) [6]. Revenue growth of 21.1% YoY from $714.7M to $868.5M demonstrates sustained commercial momentum, scoring 1.0 (1x weight) [1]. Forward P/E of 4.82x on $5.79 forward EPS is extraordinarily cheap, scoring 1.0 (1x weight) [6]. Profit margin of 18.27% is just below the 20% target, scoring 0.91 (1x weight) [6]. PEG and 5-year CAGR are unavailable and excluded. Liquidity floor cleared: 881K avg vol x $27.90 = $24.6M [6]. Calculated mechanically: weighted sum 5.91 / max weight 6.0 = 10/10.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Harmony Biosciences plays a mixed game — the patient-centric rare disease mission is genuine and guides product development decisions, but the company's young age (founded 2017), single-product dependency on WAKIX, and aggressive commercial focus reflect a company still proving whether its cause will endure beyond the initial product cycle. The pipeline diversification into PWS, DM1, and novel mechanisms suggests infinite aspirations being tested in real time.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Harmony's purpose of developing therapies for patients with rare neurological diseases who have unmet medical needs is genuine, specific, and connects the company's work to reducing suffering for underserved patient populations [2]. CEO Jeffrey Dayno, a physician, embodies the mission through clinical background. The purpose has guided strategic decisions — pediatric narcolepsy expansion, PWS and DM1 pipeline — but has not yet been tested through multiple market cycles or leadership transitions given the company's 2017 founding.</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Harmony was ranked 4th on Forbes' list of America's Best Mid-Sized Companies in 2023, with culture described as 'innovative, empathetic, inclusive and collaborative' [2]. The company explicitly names 'one-team attitude' as a core value. For a 293-person organization achieving $868.5M in revenue, the per-employee productivity suggests exceptional organizational effectiveness. CEO Dayno received the Frank Baldino Bioscience CEO of the Year Award in 2024, indicating external recognition of leadership quality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a learning opportunity. The company operates in a relatively unchallenged niche (only pitolisant for narcolepsy), and competitive language focuses on defending patent exclusivity against generic challengers rather than improving through competitive dynamics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Harmony is expanding beyond its founding narcolepsy indication into Prader-Willi Syndrome (Phase 3), Myotonic Dystrophy (Phase 2), and developing novel mechanisms including an orexin-2 receptor agonist and MCHR1 antagonist [2]. This pipeline diversification represents meaningful adaptation from a single-product company, though the core business model (rare disease pharma with pitolisant)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Harmony has invested heavily in pipeline expansion — running multiple Phase 2/3 trials simultaneously across distinct indications — despite being a 293-person company with $868.5M revenue, reflecting willingness to invest for long-term capability [1][2]. Operating expenses grew 50% YoY in Q4 2025, largely driven by pipeline investment, which compressed margins but positions the company for growth beyond WAKIX. However, the aggressive patent settlement strategy (settling with 6 of 7 generic filers) prioritizes short-term exclusivity protection over building long-term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Harmony Biosciences is a rare disease pharma franchise approaching blockbuster status with WAKIX, guiding $1.0-$1.04B in 2026 revenue (17.5% growth at midpoint) after delivering $868.5M in FY2025 (22% YoY growth) [1]. At 4.8x forward earnings on $5.79 forward EPS, the stock is remarkably cheap for a profitable biotech with 20.75% ROE, 19.4% D/E, and a differentiated mechanism of action in narcolepsy [6]. The pediatric narcolepsy FDA approval expands the addressable market, patent settlements delay generic competition to at least March 2030, and the pitolisant GR NDA submission in Q2 2026 could open additional commercial opportunities [1][2]. With 293 employees generating $868M in revenue ($2.96M per employee), this is one of the most capital-efficient pharma franchises in the market. HC Wainwright maintains a Buy rating, and the consensus price target of $43.78 implies 57% upside [4].</w:t>
      </w:r>
    </w:p>
    <w:p>
      <w:pPr>
        <w:spacing w:after="120"/>
      </w:pPr>
      <w:r>
        <w:rPr>
          <w:rFonts w:ascii="Calibri" w:hAnsi="Calibri"/>
          <w:b w:val="0"/>
          <w:color w:val="3A4A28"/>
          <w:sz w:val="20"/>
        </w:rPr>
        <w:t>The bear case centers on single-product concentration and patent risk. WAKIX represents essentially all of Harmony's revenue, creating binary risk if generic competition arrives earlier than the 2030 settlement timeline [1][4]. The AET Pharma bench trial in Delaware District Court remains unresolved, and Deutsche Bank downgraded to Hold citing concerns that the judge's early post-trial comments could indicate a negative outcome, potentially triggering generic entry as early as 2026 [4]. The Scorpion Capital short-seller report from 2023 alleging 'potentially improper behavior' continues to weigh on investor sentiment despite strong financial execution [5]. Q4 2025 saw operating expenses surge 50% YoY with G&amp;A costs nearly doubling to $57.6M, compressing operating margins from 27.7% to 15.8% — raising questions about cost discipline [1]. Earnings growth was -55% in Q4 despite 21% revenue growth. CFO Sandip Kapadia's full liquidation of direct holdings ($752,800) in January 2026, while pre-planned, adds to the cautious insider sentiment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WAKIX blockbuster milestone — $1.0-$1.04B 2026 revenue guidance with continued patient adds of ~400/quarter toward the ~8,500+ patient base in narcolepsy [1]</w:t>
      </w:r>
    </w:p>
    <w:p>
      <w:pPr>
        <w:spacing w:before="40" w:after="40"/>
        <w:ind w:left="283"/>
      </w:pPr>
      <w:r>
        <w:rPr>
          <w:rFonts w:ascii="Calibri" w:hAnsi="Calibri"/>
          <w:b/>
          <w:color w:val="4A6B25"/>
          <w:sz w:val="20"/>
        </w:rPr>
        <w:t xml:space="preserve">2. </w:t>
      </w:r>
      <w:r>
        <w:rPr>
          <w:rFonts w:ascii="Calibri" w:hAnsi="Calibri"/>
          <w:b w:val="0"/>
          <w:color w:val="3A4A28"/>
          <w:sz w:val="20"/>
        </w:rPr>
        <w:t>Pitolisant GR New Drug Application submission in Q2 2026 with anticipated FDA decision Q1 2027, potentially expanding the commercial franchise [2]</w:t>
      </w:r>
    </w:p>
    <w:p>
      <w:pPr>
        <w:spacing w:before="40" w:after="40"/>
        <w:ind w:left="283"/>
      </w:pPr>
      <w:r>
        <w:rPr>
          <w:rFonts w:ascii="Calibri" w:hAnsi="Calibri"/>
          <w:b/>
          <w:color w:val="4A6B25"/>
          <w:sz w:val="20"/>
        </w:rPr>
        <w:t xml:space="preserve">3. </w:t>
      </w:r>
      <w:r>
        <w:rPr>
          <w:rFonts w:ascii="Calibri" w:hAnsi="Calibri"/>
          <w:b w:val="0"/>
          <w:color w:val="3A4A28"/>
          <w:sz w:val="20"/>
        </w:rPr>
        <w:t>Pipeline readouts in Prader-Willi Syndrome (Phase 3) and Myotonic Dystrophy (Phase 2) that could diversify revenue beyond WAKIX and reduce single-product dependency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AET Pharma patent trial outcome — judge's early post-trial comments raised concerns about Harmony's case, potentially triggering generic WAKIX competition before the 2030 settlement timeline [4]</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WAKIX represents essentially all revenue, creating binary risk to the franchise from patent challenges, generic entry, or competitive narcolepsy therapies [1]</w:t>
      </w:r>
    </w:p>
    <w:p>
      <w:pPr>
        <w:spacing w:before="40" w:after="40"/>
        <w:ind w:left="283"/>
      </w:pPr>
      <w:r>
        <w:rPr>
          <w:rFonts w:ascii="Calibri" w:hAnsi="Calibri"/>
          <w:b/>
          <w:color w:val="4A6B25"/>
          <w:sz w:val="20"/>
        </w:rPr>
        <w:t xml:space="preserve">3. </w:t>
      </w:r>
      <w:r>
        <w:rPr>
          <w:rFonts w:ascii="Calibri" w:hAnsi="Calibri"/>
          <w:b w:val="0"/>
          <w:color w:val="3A4A28"/>
          <w:sz w:val="20"/>
        </w:rPr>
        <w:t>Operating cost escalation — Q4 2025 opex grew 50% YoY with G&amp;A nearly doubling, compressing operating margins by 1,190bps to 15.8%, raising sustainability concerns if revenue growth decelerates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Rare disease pharmaceutical development is structurally immune to AI disruption — FDA-regulated drug approval, physician prescribing relationships, patent-protected molecules, and complex clinical trial execution cannot be replaced by AI tools [2]. WAKIX's novel mechanism of action (histamine signaling) and first-mover status in narcolepsy create defensible moats that AI does not threaten. The company's competitive risks are patent challenges and generic entry, not technology disruption. No analysts have flagged AI as a risk to Harmony's business model. AI Opportunity (0/1): The Beacon Biosignals EEG partnership uses AI-adjacent brain-signal analytics in clinical trials but does not generate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Harmony Biosciences Q4 2025 &amp; FY2025 earnings results — $868.5M revenue, $158.7M net income, 21% WAKIX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Harmony Biosciences corporate profile — pipeline, leadership, culture, Beacon Biosignals partnership, Forbes #4 Mid-Size Company recognition</w:t>
      </w:r>
    </w:p>
    <w:p>
      <w:pPr>
        <w:spacing w:before="20" w:after="20"/>
        <w:ind w:left="170"/>
      </w:pPr>
      <w:r>
        <w:rPr>
          <w:rFonts w:ascii="Calibri" w:hAnsi="Calibri"/>
          <w:b/>
          <w:color w:val="4A6B25"/>
          <w:sz w:val="15"/>
        </w:rPr>
        <w:t xml:space="preserve">3. </w:t>
      </w:r>
      <w:r>
        <w:rPr>
          <w:rFonts w:ascii="Calibri" w:hAnsi="Calibri"/>
          <w:b w:val="0"/>
          <w:color w:val="3A4A28"/>
          <w:sz w:val="17"/>
        </w:rPr>
        <w:t>Insider trading activity — CFO Kapadia full liquidation of direct holdings ($752,800), net selling of $1.9M over 90 days, January 2026</w:t>
      </w:r>
    </w:p>
    <w:p>
      <w:pPr>
        <w:spacing w:before="20" w:after="20"/>
        <w:ind w:left="170"/>
      </w:pPr>
      <w:r>
        <w:rPr>
          <w:rFonts w:ascii="Calibri" w:hAnsi="Calibri"/>
          <w:b/>
          <w:color w:val="4A6B25"/>
          <w:sz w:val="15"/>
        </w:rPr>
        <w:t xml:space="preserve">4. </w:t>
      </w:r>
      <w:r>
        <w:rPr>
          <w:rFonts w:ascii="Calibri" w:hAnsi="Calibri"/>
          <w:b w:val="0"/>
          <w:color w:val="3A4A28"/>
          <w:sz w:val="17"/>
        </w:rPr>
        <w:t>Analyst ratings — Deutsche Bank downgrade to Hold ($30 PT), Truist downgrade to Hold ($25 PT), HC Wainwright Buy, consensus $43.78 PT</w:t>
      </w:r>
    </w:p>
    <w:p>
      <w:pPr>
        <w:spacing w:before="20" w:after="20"/>
        <w:ind w:left="170"/>
      </w:pPr>
      <w:r>
        <w:rPr>
          <w:rFonts w:ascii="Calibri" w:hAnsi="Calibri"/>
          <w:b/>
          <w:color w:val="4A6B25"/>
          <w:sz w:val="15"/>
        </w:rPr>
        <w:t xml:space="preserve">5. </w:t>
      </w:r>
      <w:r>
        <w:rPr>
          <w:rFonts w:ascii="Calibri" w:hAnsi="Calibri"/>
          <w:b w:val="0"/>
          <w:color w:val="3A4A28"/>
          <w:sz w:val="17"/>
        </w:rPr>
        <w:t>Scorpion Capital short-seller report (2023) and ESG profile — Sustainalytics 'Weak' ESG management rating</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HRMY,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