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HRTX</w:t>
      </w:r>
      <w:r>
        <w:rPr>
          <w:rFonts w:ascii="Calibri" w:hAnsi="Calibri"/>
          <w:b/>
          <w:color w:val="1A2010"/>
          <w:sz w:val="40"/>
        </w:rPr>
        <w:t xml:space="preserve">  Heron Therapeutics, Inc.</w:t>
      </w:r>
    </w:p>
    <w:p>
      <w:pPr>
        <w:spacing w:after="120"/>
      </w:pPr>
      <w:r>
        <w:rPr>
          <w:rFonts w:ascii="Calibri" w:hAnsi="Calibri"/>
          <w:b/>
          <w:color w:val="6E8450"/>
          <w:sz w:val="18"/>
        </w:rPr>
        <w:t>GROWTH SLEEVE · 2026-04-22 · Inspire: 22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Heron Therapeutics is a commercial-stage biotechnology company focused on acute care and oncology therapeutics using its proprietary Biochronomer drug delivery technology. Key products include ZYNRELEF (non-opioid post-surgical pain), CINVANTI and APONVIE (chemotherapy-induced nausea/vomiting prevention), and SUSTOL (extended-release anti-emetic). The company is headquartered in Cary, North Carolina.</w:t>
      </w:r>
    </w:p>
    <w:p>
      <w:r>
        <w:rPr>
          <w:rFonts w:ascii="Calibri" w:hAnsi="Calibri"/>
          <w:b/>
          <w:color w:val="6E8450"/>
          <w:sz w:val="18"/>
        </w:rPr>
        <w:t>128 Employees · https://www.herontx.com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Heron has successfully commercialized four products (ZYNRELEF, CINVANTI, APONVIE, SUSTOL) from its Biochronomer drug delivery platform, but none have achieved blockbuster scale — total 2025 revenue was $154.9M [1]. The company remains unprofitable after decades of operation (founded 1983). AI Deployment (0/2): No evidence of AI deployment in products, manufacturing, or clinical development; the company's 128-employee scale limits technology investment capacity [2]. Market Share (1/2): CINVANTI has achieved meaningful adoption in the hospital anti-emetic market (~$22.9M Q4 2025) and ZYNRELEF is gaining traction in non-opioid post-surgical pain as an alternative to opioids, but neither product is a market leader in its category [1]. Pipeline (1/2): ZYNRELEF's pass-through payment status from CMS for hospital outpatient settings opens a significant new market, and the 2026 guidance of $173-183M revenue shows continued growth trajectory [1][3]. R&amp;D Intensity (1/1): R&amp;D investment through the Biochronomer platform and clinical programs is above average for a company of this size, demonstrating commitment to innovation despite financial constraints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Heron's mission focuses on enhancing medical care through innovative therapeutics, with particular emphasis on addressing the opioid crisis through non-opioid pain alternatives like ZYNRELEF — this connects to a genuine societal need but is not distinctively articulated compared to peers [2]. Community Impact (1/2): Heron's most meaningful community impact is its contribution to addressing the opioid epidemic through ZYNRELEF, which provides a non-opioid alternative for post-surgical pain management; however, specific charitable programs or foundation giving are not prominently reported [3]. Employee Retention (1/2): The company underwent a significant cultural transformation under CEO Craig Collard, consolidating R&amp;D teams and fostering transparent, respectful communication that accelerated the NDA process; however, with only 128 employees, the company is small and retention data is limited [2]. Insider Buying (0/2): No evidence of meaningful net insider buying; the company's persistently unprofitable status and $1.02 stock price suggest limited insider conviction through open-market purchases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Heron's financial infrastructure reflects a company in transition from pre-profitability to breakeven. D/E of 981.2% is catastrophic — well above the 300% floor — scoring 0, driven by $140.6M debt against a tiny equity base [4]. ROE is negative/unavailable as the company posted a -$20.2M net loss in 2025, scoring 0 [4]. Revenue growth is a bright spot: 7.4% YoY ($154.9M vs $144.3M) and approximately 12.9% 3yr CAGR, though below the 10% YoY target [1]. Forward P/E of 2.0x is exceptionally low (scoring 1.0), reflecting a $1.02 stock price against $0.51 forward EPS expectations — though this reflects deep skepticism rather than value [4]. Profit margin of -13.0% scores 0. Adjusted EBITDA turned positive at $14.7M in 2025 (exceeding $9-13M guidance), suggesting a path toward profitability, but GAAP net income remains negative [1]. Liquidity is marginal: 1.76M avg vol × $1.02 = $1.79M daily — barely above the $1M floor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Heron Therapeutics shows primarily finite game characteristics. The company has survived for 40+ years but remains unprofitable, suggesting a struggle for survival rather than playing to keep playing. The CEO transition and cultural overhaul under Craig Collard represent positive changes, but the company's small scale and financial fragility limit its ability to make the long-term investments that characterize infinite game players.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Heron's purpose centers on enhancing medical care through innovative therapeutics, with the opioid crisis as a genuine societal need that ZYNRELEF addresses [2]. However, the mission reads as functional rather than transformative — it describes what Heron does rather than a vision of a future state worth sacrificing for. The company has not demonstrated the kind of decades-long strategic consistency that validates a Just Cause.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Craig Collard implemented a significant cultural overhaul at Heron, consolidating R&amp;D teams, promoting transparent communication, and fostering interdepartmental collaboration that accelerated the NDA process for key products [2]. The separation of Chairman and CEO roles demonstrates governance commitment. However, with only 128 employees and recent leadership turnover (Barry Quart to Craig Collard), the trust culture is still being established.</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that Heron's competitive language reflects an infinite competitive mindset. The company operates in niche therapeutic categories where it competes against generic alternatives and larger pharmaceutical companies, but there is no public evidence of management acknowledging or learning from competitors' strengths [1].</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Heron has been focused on the same Biochronomer drug delivery platform for its entire commercial history, evolving from A.P. Pharma to Heron Therapeutics in 2014 but maintaining the same core technology approach [2]. The company has not demonstrated a transformative strategic pivot or willingness to abandon legacy approaches. The shift from oncology-only to acute care (ZYNRELEF) represents modest evolution, not existential flexibility.</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Limited evidence of courageous long-term investments given the company's financial constraints. Heron's persistent unprofitability (net loss of $20.2M in 2025, $13.6M in 2024) suggests the company is fighting for survival rather than making bold strategic choices [1]. The $140.6M debt burden on a $192M market cap company constrains leadership's ability to invest in long-term capabilities over short-term cash management.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Heron Therapeutics offers a speculative turnaround story with 2025 revenue of $154.9M (up 7.4% YoY) and positive adjusted EBITDA of $14.7M for the first time, exceeding guidance [1]. ZYNRELEF — the company's non-opioid post-surgical pain treatment — is the growth catalyst, rising 35% sequentially in Q4 2025 to ~$12.5M and benefiting from CMS pass-through payment status expanding hospital outpatient reimbursement [1][3]. The 2026 guidance of $173-183M revenue (12-18% growth) with $10-20M adjusted EBITDA suggests a credible path toward GAAP profitability. At a forward P/E of 2.0x and $192M market cap, the stock prices in extreme pessimism — if Heron achieves the $0.51 forward EPS estimate, the stock would re-rate significantly from $1.02 [4].</w:t>
      </w:r>
    </w:p>
    <w:p>
      <w:pPr>
        <w:spacing w:after="120"/>
      </w:pPr>
      <w:r>
        <w:rPr>
          <w:rFonts w:ascii="Calibri" w:hAnsi="Calibri"/>
          <w:b w:val="0"/>
          <w:color w:val="3A4A28"/>
          <w:sz w:val="20"/>
        </w:rPr>
        <w:t>The bear case is severe. Heron's D/E ratio of 981% with $140.6M debt against a $192M market cap creates existential financial risk if revenue growth stalls or the path to profitability takes longer than expected [4]. The company has been unprofitable since its founding in 1983, burning through investor capital for four decades with cumulative net losses well exceeding $1B. Profit margin of -13.0% and negative free cash flow of -$28.5M in 2025 demonstrate the company still consumes more cash than it generates [4]. CINVANTI, the largest revenue contributor (~$22.9M Q4), faces price erosion that management expects to offset unit volume growth, resulting in flat sales [1]. The $1.02 stock price carries meaningful delisting risk if it remains below exchange minimums. With only $46.6M cash and $140.6M debt, the balance sheet provides minimal margin of safety if product launches disappoint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ZYNRELEF hospital outpatient expansion via CMS pass-through payment status — opens a significant new market for non-opioid post-surgical pain management [1][3]</w:t>
      </w:r>
    </w:p>
    <w:p>
      <w:pPr>
        <w:spacing w:before="40" w:after="40"/>
        <w:ind w:left="283"/>
      </w:pPr>
      <w:r>
        <w:rPr>
          <w:rFonts w:ascii="Calibri" w:hAnsi="Calibri"/>
          <w:b/>
          <w:color w:val="4A6B25"/>
          <w:sz w:val="20"/>
        </w:rPr>
        <w:t xml:space="preserve">2. </w:t>
      </w:r>
      <w:r>
        <w:rPr>
          <w:rFonts w:ascii="Calibri" w:hAnsi="Calibri"/>
          <w:b w:val="0"/>
          <w:color w:val="3A4A28"/>
          <w:sz w:val="20"/>
        </w:rPr>
        <w:t>Path to GAAP profitability — adjusted EBITDA turned positive in 2025 ($14.7M), and 2026 guidance suggests continued improvement toward positive net income [1]</w:t>
      </w:r>
    </w:p>
    <w:p>
      <w:pPr>
        <w:spacing w:before="40" w:after="40"/>
        <w:ind w:left="283"/>
      </w:pPr>
      <w:r>
        <w:rPr>
          <w:rFonts w:ascii="Calibri" w:hAnsi="Calibri"/>
          <w:b/>
          <w:color w:val="4A6B25"/>
          <w:sz w:val="20"/>
        </w:rPr>
        <w:t xml:space="preserve">3. </w:t>
      </w:r>
      <w:r>
        <w:rPr>
          <w:rFonts w:ascii="Calibri" w:hAnsi="Calibri"/>
          <w:b w:val="0"/>
          <w:color w:val="3A4A28"/>
          <w:sz w:val="20"/>
        </w:rPr>
        <w:t>2026 revenue guidance of $173-183M (12-18% growth) driven by Acute Care franchise momentum, particularly ZYNRELEF sequential growth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Existential balance sheet risk — $140.6M debt with 981% D/E ratio on a $192M market cap company with -$28.5M free cash flow creates potential solvency concerns [4]</w:t>
      </w:r>
    </w:p>
    <w:p>
      <w:pPr>
        <w:spacing w:before="40" w:after="40"/>
        <w:ind w:left="283"/>
      </w:pPr>
      <w:r>
        <w:rPr>
          <w:rFonts w:ascii="Calibri" w:hAnsi="Calibri"/>
          <w:b/>
          <w:color w:val="4A6B25"/>
          <w:sz w:val="20"/>
        </w:rPr>
        <w:t xml:space="preserve">2. </w:t>
      </w:r>
      <w:r>
        <w:rPr>
          <w:rFonts w:ascii="Calibri" w:hAnsi="Calibri"/>
          <w:b w:val="0"/>
          <w:color w:val="3A4A28"/>
          <w:sz w:val="20"/>
        </w:rPr>
        <w:t>Persistent unprofitability after 40+ years — GAAP net loss of $20.2M in 2025 with no history of sustained profitability undermines confidence in turnaround narrative [1][4]</w:t>
      </w:r>
    </w:p>
    <w:p>
      <w:pPr>
        <w:spacing w:before="40" w:after="40"/>
        <w:ind w:left="283"/>
      </w:pPr>
      <w:r>
        <w:rPr>
          <w:rFonts w:ascii="Calibri" w:hAnsi="Calibri"/>
          <w:b/>
          <w:color w:val="4A6B25"/>
          <w:sz w:val="20"/>
        </w:rPr>
        <w:t xml:space="preserve">3. </w:t>
      </w:r>
      <w:r>
        <w:rPr>
          <w:rFonts w:ascii="Calibri" w:hAnsi="Calibri"/>
          <w:b w:val="0"/>
          <w:color w:val="3A4A28"/>
          <w:sz w:val="20"/>
        </w:rPr>
        <w:t>Delisting risk and liquidity concerns — $1.02 stock price with marginal daily dollar volume of $1.79M creates both exchange compliance risk and trading liquidity constraints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Heron Therapeutics' core business — manufacturing and commercializing injectable pharmaceuticals for acute care and oncology — is structurally protected from AI disruption. Hospital-administered injectable drugs (ZYNRELEF, CINVANTI, APONVIE) involve physical drug delivery, FDA-regulated manufacturing, and clinical administration by healthcare professionals that AI cannot substitute [2]. The Biochronomer drug delivery technology involves proprietary biological formulation science. However, the company's small scale (128 employees, $155M revenue) makes it vulnerable to larger competitors who could use AI to develop superior drug delivery technologies or more efficient manufacturing processes. AI Opportunity (1/1): While Heron has not explicitly deployed AI products, the broader pharmaceutical industry trend toward AI-assisted drug formulation and clinical trial optimization could benefit Heron's pipeline development efficiency as the company matures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22</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Product Safety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Heron Therapeutics Q4 and Full-Year 2025 Earnings Release — $154.9M revenue, $14.7M adjusted EBITDA, 2026 guidance $173-183M, February 2026</w:t>
      </w:r>
    </w:p>
    <w:p>
      <w:pPr>
        <w:spacing w:before="20" w:after="20"/>
        <w:ind w:left="170"/>
      </w:pPr>
      <w:r>
        <w:rPr>
          <w:rFonts w:ascii="Calibri" w:hAnsi="Calibri"/>
          <w:b/>
          <w:color w:val="4A6B25"/>
          <w:sz w:val="15"/>
        </w:rPr>
        <w:t xml:space="preserve">2. </w:t>
      </w:r>
      <w:r>
        <w:rPr>
          <w:rFonts w:ascii="Calibri" w:hAnsi="Calibri"/>
          <w:b w:val="0"/>
          <w:color w:val="3A4A28"/>
          <w:sz w:val="17"/>
        </w:rPr>
        <w:t>Heron Therapeutics management team, cultural transformation under CEO Craig Collard, Biochronomer platform overview</w:t>
      </w:r>
    </w:p>
    <w:p>
      <w:pPr>
        <w:spacing w:before="20" w:after="20"/>
        <w:ind w:left="170"/>
      </w:pPr>
      <w:r>
        <w:rPr>
          <w:rFonts w:ascii="Calibri" w:hAnsi="Calibri"/>
          <w:b/>
          <w:color w:val="4A6B25"/>
          <w:sz w:val="15"/>
        </w:rPr>
        <w:t xml:space="preserve">3. </w:t>
      </w:r>
      <w:r>
        <w:rPr>
          <w:rFonts w:ascii="Calibri" w:hAnsi="Calibri"/>
          <w:b w:val="0"/>
          <w:color w:val="3A4A28"/>
          <w:sz w:val="17"/>
        </w:rPr>
        <w:t>Heron Therapeutics CMS pass-through payment status for ZYNRELEF, product-specific J-Codes, ISS Governance QualityScore, Sustainalytics ESG rating</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HRTX (Heron Therapeutics), retrieved April 22,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