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HRZN</w:t>
      </w:r>
      <w:r>
        <w:rPr>
          <w:rFonts w:ascii="Calibri" w:hAnsi="Calibri"/>
          <w:b/>
          <w:color w:val="1A2010"/>
          <w:sz w:val="40"/>
        </w:rPr>
        <w:t xml:space="preserve">  Horizon Technology Finance Corporation</w:t>
      </w:r>
    </w:p>
    <w:p>
      <w:pPr>
        <w:spacing w:after="120"/>
      </w:pPr>
      <w:r>
        <w:rPr>
          <w:rFonts w:ascii="Calibri" w:hAnsi="Calibri"/>
          <w:b/>
          <w:color w:val="6E8450"/>
          <w:sz w:val="18"/>
        </w:rPr>
        <w:t>DIVIDEND SLEEVE · 2026-05-04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Asset Management · NASDAQ · United States</w:t>
      </w:r>
    </w:p>
    <w:p>
      <w:pPr>
        <w:spacing w:after="80"/>
      </w:pPr>
      <w:r>
        <w:rPr>
          <w:rFonts w:ascii="Calibri" w:hAnsi="Calibri"/>
          <w:b w:val="0"/>
          <w:color w:val="3A4A28"/>
          <w:sz w:val="20"/>
        </w:rPr>
        <w:t>Horizon Technology Finance Corporation is a business development company (BDC) specializing in secured venture lending to venture capital-backed companies in technology, life sciences, healthcare IT, cleantech, and sustainability industries. Externally managed by Horizon Technology Finance Management, the company provides venture debt financing to growth-stage companies.</w:t>
      </w:r>
    </w:p>
    <w:p>
      <w:r>
        <w:rPr>
          <w:rFonts w:ascii="Calibri" w:hAnsi="Calibri"/>
          <w:b/>
          <w:color w:val="6E8450"/>
          <w:sz w:val="18"/>
        </w:rPr>
        <w:t>https://horizontechfinance.com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Horizon completed its merger with Monroe Capital BDC (MRCC) in early 2026, consolidating its venture lending platform, but this is an acquisitive consolidation rather than transformative innovation [1]. The company also backed Stellar Cyber with a $25M facility in April 2026, showing engagement with AI-adjacent sectors [2]. AI Deployment (0/2): No evidence of AI-powered products or internal AI-driven efficiency gains; the company is a traditional BDC lending operation [2]. Market Share (1/2): Horizon is a meaningful but small participant in the venture lending space, competing against larger players like Hercules Capital and Trinity Capital with a $287M market cap [1]. Pipeline (1/2): The MRCC merger expands the portfolio and the Board declared monthly distributions of $0.06/share through June 2026, but pipeline visibility is limited to general commentary about tech lending growth [1]. R&amp;D Intensity (0/1): Not applicable as a financial services BDC; no R&amp;D spend.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Horizon's mission is generic — providing venture debt to technology and life science companies. No distinctive purpose statement found beyond standard financial services language about supporting innovation [2]. Community Impact (0/2): No evidence of charitable programs, foundation work, or community investment beyond standard lending operations. Employee Retention (0/2): Company has no publicly reported employees (externally managed BDC); no retention data available. Insider Buying (2/2): Meaningful net insider buying — CEO Balkin purchased $170,600 in stock in December 2024 and $105,800 in August 2024; President Michaud bought $74,519 in November 2024; Director Savage purchased $88,150 [3]. Multiple executives buying at depressed prices signals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Horizon's financial profile reflects the stress of a venture lending BDC in a challenging credit environment. D/E of 148.5% is elevated but typical for leveraged BDCs [4]. ROE is negative at -0.8%, reflecting net losses in 2025 of -$2.7M [4]. Revenue declined 12.2% YoY as rising non-accruals pressured investment income [1]. Forward P/E of 5.5x is extremely cheap but reflects market skepticism about earnings sustainability. Profit margin is negative at -2.8% [4]. The dividend was cut 45% from $0.11/month to $0.06/month in March 2026, destroying the growth streak; payout ratio of 224% is unsustainable at current earnings [4]. Consecutive years paid: 16 years (since 2010). Liquidity passes floor: 1.1M avg volume x $4.22 = $4.7M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Horizon Technology Finance operates as a yield-focused BDC that prioritizes quarterly distributions over long-term capability building. The 45% dividend cut in 2026, leadership transition from founder Pomeroy to Balkin, and Schall Law Firm fraud investigation all signal a company managing through crisis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 4/10): Horizon exists to provide venture debt to technology companies, but this is a financial function, not a cause. There is no articulated vision of a better future — the company's purpose is generating yield for shareholders through venture lending. No evidence of a purpose beyond returns [2].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 2/10): Horizon underwent a disruptive CEO transition in June 2025 when founder Robert Pomeroy retired and was replaced by independent director Michael Balkin [3]. The externally managed structure means minimal employees and no meaningful organizational culture data. The Schall Law Firm fraud investigation opened in March 2026 suggests governance concerns that erode trust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 3/10): No evidence of an infinite competitive mindset. Horizon competes directly with Hercules Capital and Trinity Capital but does not reference learning from rivals or self-improvement. Competitive language focuses on deal flow and market positioning rather than capability building.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 6/10): Horizon has shown some flexibility by merging with MRCC to expand its platform and pivoting lending focus toward AI and sustainability sectors [1]. Management's stated intent to amplify 'high-alpha' sectors like AI and healthcare tech represents incremental adaptation [2]. However, the core business model of venture lending has not fundamentally changed since inception.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 6/10): The MRCC merger during a period of BDC stress shows willingness to invest in long-term scale despite near-term earnings pressure [1]. Cutting the dividend 45% in 2026, while painful, is arguably the courageous choice over maintaining an unsustainable payout. However, the leadership transition and fraud investigation raise questions about governance discipline.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Horizon Technology Finance trades at a deep discount with a forward P/E of 5.5x and a yield of ~17% (post-cut), offering potential value if the venture lending environment stabilizes. The MRCC merger expands the portfolio and provides scale benefits, while management's pivot toward AI and sustainability lending positions the portfolio for secular growth sectors [1][2]. Insider buying by CEO Balkin ($276K+ in purchases) and other executives signals management conviction at current prices [3]. If credit quality stabilizes and non-accruals decline, earnings recovery could support dividend restoration and significant share price appreciation from the current $4.22 level.</w:t>
      </w:r>
    </w:p>
    <w:p>
      <w:pPr>
        <w:spacing w:after="120"/>
      </w:pPr>
      <w:r>
        <w:rPr>
          <w:rFonts w:ascii="Calibri" w:hAnsi="Calibri"/>
          <w:b w:val="0"/>
          <w:color w:val="3A4A28"/>
          <w:sz w:val="20"/>
        </w:rPr>
        <w:t>The bear case is substantial. Horizon's NAV has been in persistent decline, and the stock has lost over 60% of its value — fitting the pattern of a 'value trap' BDC that Seeking Alpha analysts have flagged [6]. The 45% dividend cut from $0.11 to $0.06/month destroyed the income thesis. ROE is negative, profit margin is negative, and the payout ratio of 224% remains unsustainable even after the cut [4]. The Schall Law Firm fraud investigation opened in March 2026 introduces litigation risk [6]. Venture-backed borrowers face elevated default risk as rising rates and AI disruption pressure software startups. The externally managed structure creates misaligned incentives — management fees are paid regardless of NAV erosion. BDC sector headwinds from higher-for-longer rates and credit tightening may persist through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MRCC merger integration driving portfolio scale and operational efficiency, with combined platform targeting $500M+ in assets [1]</w:t>
      </w:r>
    </w:p>
    <w:p>
      <w:pPr>
        <w:spacing w:before="40" w:after="40"/>
        <w:ind w:left="283"/>
      </w:pPr>
      <w:r>
        <w:rPr>
          <w:rFonts w:ascii="Calibri" w:hAnsi="Calibri"/>
          <w:b/>
          <w:color w:val="4A6B25"/>
          <w:sz w:val="20"/>
        </w:rPr>
        <w:t xml:space="preserve">2. </w:t>
      </w:r>
      <w:r>
        <w:rPr>
          <w:rFonts w:ascii="Calibri" w:hAnsi="Calibri"/>
          <w:b w:val="0"/>
          <w:color w:val="3A4A28"/>
          <w:sz w:val="20"/>
        </w:rPr>
        <w:t>Stabilization of venture credit quality and reduction in non-accrual loans as portfolio pivots toward AI and sustainability sectors [2]</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restoration if net investment income recovers to cover the $0.06/month distribution with improving portfolio yield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NAV erosion from venture-backed borrower defaults and non-accruals, particularly in software companies facing AI disruption [5][6]</w:t>
      </w:r>
    </w:p>
    <w:p>
      <w:pPr>
        <w:spacing w:before="40" w:after="40"/>
        <w:ind w:left="283"/>
      </w:pPr>
      <w:r>
        <w:rPr>
          <w:rFonts w:ascii="Calibri" w:hAnsi="Calibri"/>
          <w:b/>
          <w:color w:val="4A6B25"/>
          <w:sz w:val="20"/>
        </w:rPr>
        <w:t xml:space="preserve">2. </w:t>
      </w:r>
      <w:r>
        <w:rPr>
          <w:rFonts w:ascii="Calibri" w:hAnsi="Calibri"/>
          <w:b w:val="0"/>
          <w:color w:val="3A4A28"/>
          <w:sz w:val="20"/>
        </w:rPr>
        <w:t>Schall Law Firm fraud investigation could result in litigation costs, management distraction, and reputational damage [6]</w:t>
      </w:r>
    </w:p>
    <w:p>
      <w:pPr>
        <w:spacing w:before="40" w:after="40"/>
        <w:ind w:left="283"/>
      </w:pPr>
      <w:r>
        <w:rPr>
          <w:rFonts w:ascii="Calibri" w:hAnsi="Calibri"/>
          <w:b/>
          <w:color w:val="4A6B25"/>
          <w:sz w:val="20"/>
        </w:rPr>
        <w:t xml:space="preserve">3. </w:t>
      </w:r>
      <w:r>
        <w:rPr>
          <w:rFonts w:ascii="Calibri" w:hAnsi="Calibri"/>
          <w:b w:val="0"/>
          <w:color w:val="3A4A28"/>
          <w:sz w:val="20"/>
        </w:rPr>
        <w:t>Externally managed BDC structure creates fee drag and misaligned incentives — management is compensated on assets regardless of shareholder returns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Horizon faces mixed AI disruption exposure. As a venture debt lender, its core lending function is not directly replaceable by AI. However, 20%+ of BDC portfolios carry AI-related disruption risk in their underlying borrowers — software companies that Horizon lends to may face disruption from AI tools, increasing default risk [5]. Analysts note that loans originated pre-2024 likely did not contemplate AI as a business risk, creating potentially underpriced credit exposure [5]. Horizon's pivot toward AI-adjacent lending (e.g., Stellar Cyber) shows awareness but does not eliminate portfolio risk. AI Opportunity (1/1): Horizon is actively deploying capital into AI-enabled companies like Stellar Cyber's AI-native cybersecurity platform, generating investment income from the AI sector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Horizon Technology Finance Q4 2025 Earnings and MRCC Merger Announcement, March 2026</w:t>
      </w:r>
    </w:p>
    <w:p>
      <w:pPr>
        <w:spacing w:before="20" w:after="20"/>
        <w:ind w:left="170"/>
      </w:pPr>
      <w:r>
        <w:rPr>
          <w:rFonts w:ascii="Calibri" w:hAnsi="Calibri"/>
          <w:b/>
          <w:color w:val="4A6B25"/>
          <w:sz w:val="15"/>
        </w:rPr>
        <w:t xml:space="preserve">2. </w:t>
      </w:r>
      <w:r>
        <w:rPr>
          <w:rFonts w:ascii="Calibri" w:hAnsi="Calibri"/>
          <w:b w:val="0"/>
          <w:color w:val="3A4A28"/>
          <w:sz w:val="17"/>
        </w:rPr>
        <w:t>Fintech Global — Horizon Technology Finance backs Stellar Cyber with $25M facility, April 2026</w:t>
      </w:r>
    </w:p>
    <w:p>
      <w:pPr>
        <w:spacing w:before="20" w:after="20"/>
        <w:ind w:left="170"/>
      </w:pPr>
      <w:r>
        <w:rPr>
          <w:rFonts w:ascii="Calibri" w:hAnsi="Calibri"/>
          <w:b/>
          <w:color w:val="4A6B25"/>
          <w:sz w:val="15"/>
        </w:rPr>
        <w:t xml:space="preserve">3. </w:t>
      </w:r>
      <w:r>
        <w:rPr>
          <w:rFonts w:ascii="Calibri" w:hAnsi="Calibri"/>
          <w:b w:val="0"/>
          <w:color w:val="3A4A28"/>
          <w:sz w:val="17"/>
        </w:rPr>
        <w:t>SEC Insider Transaction Filings — Balkin, Michaud, Savage purchases, 2024-2025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HRZN key statistics and financial data, accessed May 2026</w:t>
      </w:r>
    </w:p>
    <w:p>
      <w:pPr>
        <w:spacing w:before="20" w:after="20"/>
        <w:ind w:left="170"/>
      </w:pPr>
      <w:r>
        <w:rPr>
          <w:rFonts w:ascii="Calibri" w:hAnsi="Calibri"/>
          <w:b/>
          <w:color w:val="4A6B25"/>
          <w:sz w:val="15"/>
        </w:rPr>
        <w:t xml:space="preserve">5. </w:t>
      </w:r>
      <w:r>
        <w:rPr>
          <w:rFonts w:ascii="Calibri" w:hAnsi="Calibri"/>
          <w:b w:val="0"/>
          <w:color w:val="3A4A28"/>
          <w:sz w:val="17"/>
        </w:rPr>
        <w:t>Prime Buchholz Research — Software Stress &amp; AI Risk in Private Credit, February 2026</w:t>
      </w:r>
    </w:p>
    <w:p>
      <w:pPr>
        <w:spacing w:before="20" w:after="20"/>
        <w:ind w:left="170"/>
      </w:pPr>
      <w:r>
        <w:rPr>
          <w:rFonts w:ascii="Calibri" w:hAnsi="Calibri"/>
          <w:b/>
          <w:color w:val="4A6B25"/>
          <w:sz w:val="15"/>
        </w:rPr>
        <w:t xml:space="preserve">6. </w:t>
      </w:r>
      <w:r>
        <w:rPr>
          <w:rFonts w:ascii="Calibri" w:hAnsi="Calibri"/>
          <w:b w:val="0"/>
          <w:color w:val="3A4A28"/>
          <w:sz w:val="17"/>
        </w:rPr>
        <w:t>Seeking Alpha — 'Horizon Technology Finance: A Textbook Case Of A Value Trap' and Schall Law Firm investigation,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