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HR</w:t>
      </w:r>
      <w:r>
        <w:rPr>
          <w:rFonts w:ascii="Calibri" w:hAnsi="Calibri"/>
          <w:b/>
          <w:color w:val="1A2010"/>
          <w:sz w:val="40"/>
        </w:rPr>
        <w:t xml:space="preserve">  Healthcare Realty Trust Incorporated</w:t>
      </w:r>
    </w:p>
    <w:p>
      <w:pPr>
        <w:spacing w:after="120"/>
      </w:pPr>
      <w:r>
        <w:rPr>
          <w:rFonts w:ascii="Calibri" w:hAnsi="Calibri"/>
          <w:b/>
          <w:color w:val="6E8450"/>
          <w:sz w:val="18"/>
        </w:rPr>
        <w:t>DIVIDEND SLEEVE · 2026-04-07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Healthcare Realty Trust is a real estate investment trust (REIT) focused on owning, managing, and developing outpatient medical properties. The company owns approximately 660 properties totaling over 40 million square feet across major healthcare markets, primarily leased to hospital systems, physician groups, and other healthcare providers.</w:t>
      </w:r>
    </w:p>
    <w:p>
      <w:r>
        <w:rPr>
          <w:rFonts w:ascii="Calibri" w:hAnsi="Calibri"/>
          <w:b/>
          <w:color w:val="6E8450"/>
          <w:sz w:val="18"/>
        </w:rPr>
        <w:t>600 Employees · https://www.healthcarerealty.com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Healthcare Realty is a traditional REIT with no meaningful product launches, market pivots, or business model transformations in the last 5 years [1]. The 2022 merger with Healthcare Trust doubled portfolio size but GAAP revenue has since declined from $1.33B (2023) to $1.15B (2025) as the company divests non-core assets [5]. AI Deployment (0/2): No AI-powered products or services deployed. The company is building a data analytics platform for portfolio management but has not reported measurable AI-driven results [2]. Market Share (1/2): Healthcare Realty is one of the largest pure-play medical outpatient building REITs in the U.S. with ~660 properties and 40M+ sq ft, giving it meaningful scale in a fragmented market [1]. Pipeline (1/2): 2026 guidance projects same-store cash NOI growth of 3.5-4.5% and normalized FFO of $1.58-$1.64/share, with the company targeting organic growth through occupancy improvement and re-leasing spreads [1]. R&amp;D Intensity (0/1): As a REIT, Healthcare Realty does not invest in traditional R&amp;D; capital expenditure goes to property improvements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Healthcare Realty's purpose of owning and operating 'high-quality medical outpatient buildings that facilitate the delivery of healthcare' is clear and connected to a societal need, but it is not distinctive among healthcare REITs — any competitor could make the same claim [2]. Community Impact (1/2): The company invested $21.8M in 437 efficiency projects in 2023, published its seventh Corporate Responsibility Report, and earned GRESB's 2 Green Star rating (score 76) and 'A' public disclosure rating for five consecutive years [4]. Employee Retention (0/2): CEO Todd Meredith departed in November 2024, with board member Connie Moore serving as interim CEO [2]. Multiple leadership changes (COO, CIO, CAO, interim CFO) in late 2024 signal organizational instability rather than a stable, mission-driven culture. Insider Buying (0/2): No evidence of meaningful net insider buying found during the leadership transition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Healthcare Realty's GAAP financial profile is poor, though REITs are better evaluated on FFO metrics. GAAP revenue declined 7.8% YoY to $1.15B, with profit margin of -20.8% and ROE of -5.0% reflecting depreciation-heavy REIT accounting [5]. D/E of 88.8% is manageable for a REIT, and net debt/EBITDA of 5.4x is within the healthy range for the sector [1]. Forward P/E is negative (GAAP losses), but on an FFO basis the stock trades at ~10.7x ($17.29 / $1.61 FFO) — reasonable for a healthcare REIT [1]. Total debt of $4.15B against $26M cash requires access to capital markets, though the company reported $1.4B in liquidity [1]. Dividend was cut 22.6% from $0.31 to $0.24/quarter in 2025, yielding 5.92% [5]. Liquidity floor cleared: 3.66M avg vol × $17.29 = $63.4M [5]. Infrastructure calculated (dividend): D/E 88.8% (0.92, 1×), ROE -5.0% (0.0, 1×), Rev Growth YoY -7.8% (0.41, 1×), Forward P/E negative (0.0, 1×), Profit Margin -20.8% (0.0, 1×), Payout Ratio 251.5% (0.0, 1×), Consec Years Paid 20+ (1.0, 2×), Consec Years Growth 0 (0.0, 1×), 5yr Div Growth CAGR negative (0.0, 2×) = weighted 3.33/11 × 10 =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Healthcare Realty demonstrates finite game characteristics — the CEO departure, leadership upheaval, dividend cut, and asset disposition program suggest an organization in survival mode rather than playing to endure. The company's purpose is functional (own medical buildings) rather than aspirational, and the leadership transition to an interim CEO signals uncertainty about long-term strategic direction.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Healthcare Realty's purpose — owning medical outpatient buildings that 'facilitate the delivery of healthcare' — is functional but shallow [2]. It describes what the company does, not a vision of a better future. Any healthcare REIT could make the same claim. The purpose has not been articulated as a Just Cause that inspires sacrifice or long-term commitment; it reads more as a business description than a calling.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Todd Meredith's departure in November 2024 triggered a cascade of leadership changes — new COO, new CIO, new CAO, interim CFO, and an interim CEO (board member Connie Moore) [2]. This level of organizational upheaval signals a low-trust environment where the existing leadership structure was either replaced or restructured wholesale. The lack of a permanent CEO 18+ months into the transition is concerning for organizational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Healthcare Realty's management acknowledging competitors' strengths or using competitive dynamics to improve. The company operates in a fragmented REIT sector without distinctive competitive framing. Earnings calls focus on internal metrics (NOI growth, occupancy, re-leasing spreads) rather than competitive positioning or learning from rivals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Healthcare Realty has operated the same business model — owning and leasing medical outpatient buildings — since its founding in 1992. The 2022 merger with Healthcare Trust was an expansion of the same model, not a transformative pivot [1]. The current disposition program (selling non-core assets) is a defensive move to strengthen the balance sheet, not an offensive strategic reinvention. The company has shown no willingness to fundamentally rethink its approach.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Healthcare Realty's aggressive deleveraging program — selling non-core assets to reduce leverage from elevated post-merger levels to 5.4x net debt/EBITDA — demonstrates willingness to sacrifice near-term revenue for long-term balance sheet health [1]. The 22.6% dividend cut from $0.31 to $0.24/quarter, while painful for shareholders, reflects disciplined capital allocation prioritizing financial flexibility over yield. However, these were forced by financial necessity rather than visionary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Healthcare Realty offers a 5.92% dividend yield and trades at approximately 10.7x FFO ($17.29 / $1.61 FFO), providing an attractive entry point for a pure-play medical outpatient REIT with 660+ properties in major healthcare markets [1]. The company's deleveraging to 5.4x net debt/EBITDA with $1.4B liquidity provides financial stability, and 2026 guidance of 3.5-4.5% same-store NOI growth demonstrates organic portfolio improvement [1]. Healthcare real estate benefits from secular tailwinds — aging demographics, shift from inpatient to outpatient care, and hospital system expansion into suburban markets. The GRESB 2 Green Star rating and seventh consecutive Corporate Responsibility Report reflect strong ESG practices that attract institutional capital [4]. If the company stabilizes leadership (permanent CEO appointment) and sustains NOI growth, the stock could rerate toward the 12-14x FFO range typical of high-quality healthcare REITs.</w:t>
      </w:r>
    </w:p>
    <w:p>
      <w:pPr>
        <w:spacing w:after="120"/>
      </w:pPr>
      <w:r>
        <w:rPr>
          <w:rFonts w:ascii="Calibri" w:hAnsi="Calibri"/>
          <w:b w:val="0"/>
          <w:color w:val="3A4A28"/>
          <w:sz w:val="20"/>
        </w:rPr>
        <w:t>The bear case centers on leadership instability, dividend deterioration, and balance sheet concerns. The CEO departed in November 2024 with no permanent replacement — interim CEO Connie Moore and a wholesale leadership restructuring create strategic uncertainty [2]. The 22.6% dividend cut in 2025 (from $0.31 to $0.24/quarter) signals earnings pressure, and the GAAP payout ratio of 251% reflects the gap between accounting income and cash flow [5]. Revenue has declined from $1.33B (2023) to $1.15B (2025) as the company disposes of non-core assets, creating a smaller portfolio with uncertain growth trajectory. Total debt of $4.15B against minimal cash requires ongoing capital markets access. 2026 FFO guidance midpoint of $1.61 is flat YoY, with management acknowledging the ~5% core earnings growth is offset by dilution from asset sales and deleveraging [1]. The broader REIT sector faces headwinds from elevated interest rates that compress cap rate spreads and increase refinancing costs. Competition from Physicians Realty (now merged with Healthpeak) and other healthcare REITs for premium medical office assets continues to intensify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Permanent CEO appointment providing strategic clarity and restoring investor confidence after 18+ months of interim leadership [2]</w:t>
      </w:r>
    </w:p>
    <w:p>
      <w:pPr>
        <w:spacing w:before="40" w:after="40"/>
        <w:ind w:left="283"/>
      </w:pPr>
      <w:r>
        <w:rPr>
          <w:rFonts w:ascii="Calibri" w:hAnsi="Calibri"/>
          <w:b/>
          <w:color w:val="4A6B25"/>
          <w:sz w:val="20"/>
        </w:rPr>
        <w:t xml:space="preserve">2. </w:t>
      </w:r>
      <w:r>
        <w:rPr>
          <w:rFonts w:ascii="Calibri" w:hAnsi="Calibri"/>
          <w:b w:val="0"/>
          <w:color w:val="3A4A28"/>
          <w:sz w:val="20"/>
        </w:rPr>
        <w:t>Same-store NOI growth of 3.5-4.5% in 2026 driven by occupancy improvement, re-leasing spreads, and embedded rent escalators across the 660-property portfolio [1]</w:t>
      </w:r>
    </w:p>
    <w:p>
      <w:pPr>
        <w:spacing w:before="40" w:after="40"/>
        <w:ind w:left="283"/>
      </w:pPr>
      <w:r>
        <w:rPr>
          <w:rFonts w:ascii="Calibri" w:hAnsi="Calibri"/>
          <w:b/>
          <w:color w:val="4A6B25"/>
          <w:sz w:val="20"/>
        </w:rPr>
        <w:t xml:space="preserve">3. </w:t>
      </w:r>
      <w:r>
        <w:rPr>
          <w:rFonts w:ascii="Calibri" w:hAnsi="Calibri"/>
          <w:b w:val="0"/>
          <w:color w:val="3A4A28"/>
          <w:sz w:val="20"/>
        </w:rPr>
        <w:t>Completion of deleveraging program with $1.4B liquidity and 5.4x net debt/EBITDA positioning the company for opportunistic acquisitions as interest rates stabilize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vacancy risk — no permanent CEO 18+ months after Todd Meredith's departure, with interim management and wholesale executive restructuring creating strategic drift [2]</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 the 22.6% cut in 2025 and flat FFO guidance for 2026 suggest limited capacity for dividend restoration, and further cuts are possible if NOI growth disappoints [1][5]</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 $4.15B total debt with REIT refinancing needs creates exposure to elevated rates, which compress cap rate spreads and increase cost of capital for acquisitions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Healthcare real estate is structurally immune to AI disruption — physical medical outpatient buildings cannot be replaced by software, and the demand for in-person healthcare visits, diagnostic imaging, and outpatient procedures requires physical facilities with specialized infrastructure [1]. Healthcare Realty's properties are leased under long-term contracts to hospital systems and physician groups, creating contractual revenue stability regardless of technological change. AI adoption in healthcare (telemedicine, diagnostics) may modestly reduce some office visit demand, but outpatient surgical centers and imaging facilities face no substitution risk. AI data centers may increase demand for real estate adjacent to healthcare campuses. AI Opportunity (0/1): Healthcare Realty does not generate AI-related revenue. The company is developing an internal data analytics platform for portfolio management but this is an operational tool, not a revenue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Healthcare Realty Trust Q4 2025 Earnings — $1.61 normalized FFO, 4.8% same-store NOI growth, 2026 guidance $1.58-$1.64 FFO, 5.4x leverage, February 2026</w:t>
      </w:r>
    </w:p>
    <w:p>
      <w:pPr>
        <w:spacing w:before="20" w:after="20"/>
        <w:ind w:left="170"/>
      </w:pPr>
      <w:r>
        <w:rPr>
          <w:rFonts w:ascii="Calibri" w:hAnsi="Calibri"/>
          <w:b/>
          <w:color w:val="4A6B25"/>
          <w:sz w:val="15"/>
        </w:rPr>
        <w:t xml:space="preserve">2. </w:t>
      </w:r>
      <w:r>
        <w:rPr>
          <w:rFonts w:ascii="Calibri" w:hAnsi="Calibri"/>
          <w:b w:val="0"/>
          <w:color w:val="3A4A28"/>
          <w:sz w:val="17"/>
        </w:rPr>
        <w:t>Healthcare Realty Trust corporate website — leadership team, CEO transition announcement November 2024, corporate responsibility</w:t>
      </w:r>
    </w:p>
    <w:p>
      <w:pPr>
        <w:spacing w:before="20" w:after="20"/>
        <w:ind w:left="170"/>
      </w:pPr>
      <w:r>
        <w:rPr>
          <w:rFonts w:ascii="Calibri" w:hAnsi="Calibri"/>
          <w:b/>
          <w:color w:val="4A6B25"/>
          <w:sz w:val="15"/>
        </w:rPr>
        <w:t xml:space="preserve">3. </w:t>
      </w:r>
      <w:r>
        <w:rPr>
          <w:rFonts w:ascii="Calibri" w:hAnsi="Calibri"/>
          <w:b w:val="0"/>
          <w:color w:val="3A4A28"/>
          <w:sz w:val="17"/>
        </w:rPr>
        <w:t>Seeking Alpha — Healthcare Realty outlines $1.61 FFO midpoint for 2026, balance sheet strengthening, February 2026</w:t>
      </w:r>
    </w:p>
    <w:p>
      <w:pPr>
        <w:spacing w:before="20" w:after="20"/>
        <w:ind w:left="170"/>
      </w:pPr>
      <w:r>
        <w:rPr>
          <w:rFonts w:ascii="Calibri" w:hAnsi="Calibri"/>
          <w:b/>
          <w:color w:val="4A6B25"/>
          <w:sz w:val="15"/>
        </w:rPr>
        <w:t xml:space="preserve">4. </w:t>
      </w:r>
      <w:r>
        <w:rPr>
          <w:rFonts w:ascii="Calibri" w:hAnsi="Calibri"/>
          <w:b w:val="0"/>
          <w:color w:val="3A4A28"/>
          <w:sz w:val="17"/>
        </w:rPr>
        <w:t>GlobeNewsWire — Healthcare Realty seventh Corporate Responsibility Report, GRESB 2 Green Star rating, October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HR (Healthcare Realty Trust),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