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HSBC</w:t>
      </w:r>
      <w:r>
        <w:rPr>
          <w:rFonts w:ascii="Calibri" w:hAnsi="Calibri"/>
          <w:b/>
          <w:color w:val="1A2010"/>
          <w:sz w:val="40"/>
        </w:rPr>
        <w:t xml:space="preserve">  HSBC Holdings plc</w:t>
      </w:r>
    </w:p>
    <w:p>
      <w:pPr>
        <w:spacing w:after="120"/>
      </w:pPr>
      <w:r>
        <w:rPr>
          <w:rFonts w:ascii="Calibri" w:hAnsi="Calibri"/>
          <w:b/>
          <w:color w:val="6E8450"/>
          <w:sz w:val="18"/>
        </w:rPr>
        <w:t>DIVIDEND SLEEVE · 2026-04-16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HSBC Holdings is one of the world's largest banking and financial services organizations, serving approximately 42 million customers through four segments: Hong Kong, UK, Corporate and Institutional Banking, and International Wealth and Premier Banking. Founded in 1865, the bank operates in 62 countries with significant Asia-Pacific exposure. HSBC provides commercial banking, wealth management, investment banking, trade finance, and retail banking services.</w:t>
      </w:r>
    </w:p>
    <w:p>
      <w:r>
        <w:rPr>
          <w:rFonts w:ascii="Calibri" w:hAnsi="Calibri"/>
          <w:b/>
          <w:color w:val="6E8450"/>
          <w:sz w:val="18"/>
        </w:rPr>
        <w:t>208,720 Employees · https://www.hsbc.com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Georges Elhedery's reorganization since September 2024 targets $1.5B in annualized simplification savings and reallocation of $1.5B into growth, but this is operational restructuring, not product innovation [1][3]. The bank has not launched transformative new financial products. AI Deployment (1/2): HSBC enabled 85% of its 208,720 employees with generative AI productivity tools and appointed David Rice as its first Chief AI Officer effective April 2026 [3]. However, no specific revenue or cost savings figures from AI deployment have been quantified publicly. Market Share (2/2): HSBC is the world's largest non-Chinese bank by assets, with dominant positions in Asia-Pacific trade finance, cross-border payments, and Hong Kong retail banking (through HSBC and Hang Seng Bank) [1]. The bank serves 42 million customers across 62 countries. Pipeline (1/2): Wealth management expansion in Asia, HSBC Innovation Banking for tech startups, and GenAI-driven process reengineering provide growth visibility. FY2026 banking NII guidance of at least $45B (up from $44.1B) [1]. R&amp;D Intensity (0/1): Banks are inherently low R&amp;D spenders as a percentage of revenue. Technology investment is significant in absolute terms but classified as operational expense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HSBC's stated purpose is 'Opening up a world of opportunity' — a generic aspirational tagline interchangeable with any global bank. It describes a vague ambition rather than a specific vision of a better future [3]. Community Impact (1/2): HSBC is a massive global employer (208,720 people) and has various philanthropic programs across its 62-country footprint, but no distinctive charitable investment with specific programs and dollar amounts was identified in research [3]. Employee Retention (0/2): HSBC is considering eliminating up to 20,000 roles through AI automation, one of the largest workforce reductions by a European bank [3]. This signals cost optimization over employee investment. Insider Buying (0/2): No evidence of meaningful net insider buying by CEO Elhedery or other executives was found in research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HSBC's financial profile reflects a well-capitalized global bank with attractive valuation. FY2025 pretax profit of $29.9B beat analyst estimates of $28.9B, with net profit margins of 35.2% demonstrating exceptional profitability for a bank [1][5]. Forward P/E of 9.4x is deeply discounted versus US bank peers, with the bank targeting RoTE of 17%+ through 2028 [1]. ROE of 11.6% is solid for a global bank but below the 15% target threshold. Revenue of $66.2B declined 1.8% YoY from $67.4B as interest rate normalization compresses NII, though 5yr CAGR of 5.6% reflects recovery from 2020 lows [5]. The dividend has been rebuilt aggressively post-COVID: 4.12% yield with 55% payout ratio and dramatic dividend growth since resumption in 2021 [5]. D/E is not applicable for banks (excluded from calculation). NII guidance of at least $45B for FY2026 with 1% cost growth provides earnings visibility [1]. Liquidity floor easily cleared: 2.4M avg vol × $90.93 = $215M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HSBC plays a decidedly finite game in Sinek's framework. The bank has been defined by repeated compliance failures (drug cartel money laundering, sanctions violations, ongoing AML deficiencies) that reveal a culture prioritizing short-term revenue over principled conduct. The current AI-driven headcount reduction of up to 20,000 roles optimizes for quarterly cost targets rather than long-term human capital investment. Despite 160 years of history, HSBC has not demonstrated the kind of purpose-driven leadership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'Opening up a world of opportunity' is marketing copy, not a Just Cause. HSBC's 160-year history demonstrates institutional permanence but not purposeful direction — the bank has repeatedly prioritized revenue growth over compliance, as evidenced by the $1.92B money laundering settlement and continued violations during the probation period [4]. The cause is shallow and not lived.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HSBC is considering eliminating up to 20,000 roles through AI automation, creating pervasive job insecurity across the 208,720-person workforce [3]. The bank's history of compliance failures suggests a culture where employees were incentivized to overlook red flags rather than raise concerns — the opposite of psychological safety. Repeated leadership turnover (three CEOs in five years before Elhedery) further undermines trust.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HSBC's competitive language focuses on maintaining market position in Asia and defending against fintech disruptors rather than learning from rivals' strengths [3]. The bank's scale-based competitive strategy ('too big to fail') is inherently finite — it's about dominance, not 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Elhedery's reorganization from geographic to business-line structure, the exit from several country markets, and the $1.5B simplification program demonstrate some strategic flexibility [1]. However, these are incremental adjustments to a fundamentally unchanged global banking model, not the kind of transformative pivot Sinek envisions.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Elhedery has shown some courage in pursuing the $1.5B restructuring and potential 20,000-role AI transformation, accepting near-term disruption for long-term efficiency [1][3]. However, HSBC's historical pattern — paying regulatory fines as a cost of doing business while continuing problematic practices — represents the opposite of principled leadership.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HSBC is a deeply undervalued global bank trading at 9.4x forward P/E with 35% profit margins and a 4.12% dividend yield, backed by $29.9B in FY2025 pretax profit that beat analyst estimates [1]. The RoTE target of 17%+ through 2028 with revenue growth accelerating to 5% by 2028 provides a clear earnings trajectory. The $1.5B simplification program and AI-driven operational efficiency (85% of employees GenAI-enabled) should expand margins further [1][3]. HSBC's dominant Asia-Pacific position — particularly in Hong Kong, trade finance, and wealth management — provides structural exposure to the world's fastest-growing economic region. NII guidance of at least $45B for FY2026 and constrained 1% cost growth demonstrate disciplined execution [1].</w:t>
      </w:r>
    </w:p>
    <w:p>
      <w:pPr>
        <w:spacing w:after="120"/>
      </w:pPr>
      <w:r>
        <w:rPr>
          <w:rFonts w:ascii="Calibri" w:hAnsi="Calibri"/>
          <w:b w:val="0"/>
          <w:color w:val="3A4A28"/>
          <w:sz w:val="20"/>
        </w:rPr>
        <w:t>The bear case centers on regulatory risk, geopolitical exposure, and AI disruption. HSBC's $1.92B money laundering settlement, continued AML violations during probation, and ongoing investigations (Salameh-linked suspicious transactions) create persistent legal and regulatory risk that could generate additional fines [4]. Revenue declined 1.8% YoY to $66.2B as interest rate normalization compresses net interest income [5]. The bank's critical Hong Kong/China exposure creates geopolitical risk from US-China tensions, potential sanctions, and Chinese economic slowdown. The planned elimination of up to 20,000 roles through AI creates execution risk and potential operational disruption [3]. The 5-year post-COVID dividend track record (only 5 consecutive years paid after 2020 suspension) is shorter than peers, and the 55% payout ratio limits further dividend growth acceleration. Fintech competition in payments and retail banking continues to erode traditional banking margins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RoTE target of 17%+ through 2028 with revenue growth accelerating to 5% by 2028, supported by $1.5B in simplification savings reallocated to growth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transformation — 85% of employees GenAI-enabled with potential $1.5B+ in efficiency savings, supported by new Chief AI Officer appointment [3]</w:t>
      </w:r>
    </w:p>
    <w:p>
      <w:pPr>
        <w:spacing w:before="40" w:after="40"/>
        <w:ind w:left="283"/>
      </w:pPr>
      <w:r>
        <w:rPr>
          <w:rFonts w:ascii="Calibri" w:hAnsi="Calibri"/>
          <w:b/>
          <w:color w:val="4A6B25"/>
          <w:sz w:val="20"/>
        </w:rPr>
        <w:t xml:space="preserve">3. </w:t>
      </w:r>
      <w:r>
        <w:rPr>
          <w:rFonts w:ascii="Calibri" w:hAnsi="Calibri"/>
          <w:b w:val="0"/>
          <w:color w:val="3A4A28"/>
          <w:sz w:val="20"/>
        </w:rPr>
        <w:t>Asia-Pacific wealth management expansion capturing secular growth in high-net-worth client assets across the fastest-growing economic region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money laundering and compliance failures — $1.92B settlement, continued violations during probation, and ongoing investigations create perpetual legal risk [4]</w:t>
      </w:r>
    </w:p>
    <w:p>
      <w:pPr>
        <w:spacing w:before="40" w:after="40"/>
        <w:ind w:left="283"/>
      </w:pPr>
      <w:r>
        <w:rPr>
          <w:rFonts w:ascii="Calibri" w:hAnsi="Calibri"/>
          <w:b/>
          <w:color w:val="4A6B25"/>
          <w:sz w:val="20"/>
        </w:rPr>
        <w:t xml:space="preserve">2. </w:t>
      </w:r>
      <w:r>
        <w:rPr>
          <w:rFonts w:ascii="Calibri" w:hAnsi="Calibri"/>
          <w:b w:val="0"/>
          <w:color w:val="3A4A28"/>
          <w:sz w:val="20"/>
        </w:rPr>
        <w:t>Geopolitical exposure — HSBC's Hong Kong/China business concentration creates risk from US-China tensions, potential sanctions, and Chinese economic deceleration [1]</w:t>
      </w:r>
    </w:p>
    <w:p>
      <w:pPr>
        <w:spacing w:before="40" w:after="40"/>
        <w:ind w:left="283"/>
      </w:pPr>
      <w:r>
        <w:rPr>
          <w:rFonts w:ascii="Calibri" w:hAnsi="Calibri"/>
          <w:b/>
          <w:color w:val="4A6B25"/>
          <w:sz w:val="20"/>
        </w:rPr>
        <w:t xml:space="preserve">3. </w:t>
      </w:r>
      <w:r>
        <w:rPr>
          <w:rFonts w:ascii="Calibri" w:hAnsi="Calibri"/>
          <w:b w:val="0"/>
          <w:color w:val="3A4A28"/>
          <w:sz w:val="20"/>
        </w:rPr>
        <w:t>AI-driven workforce reduction of up to 20,000 roles creates execution risk, potential talent attrition in critical functions, and regulatory scrutiny over responsible AI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Banking faces meaningful AI disruption risk across multiple business lines. HSBC itself estimates up to 20,000 roles could be eliminated through AI automation — advisory services, back-office processing, compliance monitoring, and customer service are all partially automatable [3]. Fintech challengers (Revolut, Wise, Grab Financial) threaten retail banking and payments. However, HSBC's regulatory moats (banking licenses in 62 countries), massive balance sheet, and physical infrastructure for trade finance and institutional banking create significant defensive barriers that AI cannot easily replicate. Analysts view large banks as exposed but adaptable [3][4]. AI Opportunity (1/1): HSBC has enabled 85% of employees with GenAI productivity tools, appointed a Chief AI Officer, and identified AI as 'one of the bank's biggest investment areas' for process reengineering and customer experience [3]. The $1.5B in targeted savings includes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HSBC FY2025 Annual Results — $29.9B pretax profit, RoTE 17%+ target, $45B NII guidance, $1.5B simplification savings, February 2026</w:t>
      </w:r>
    </w:p>
    <w:p>
      <w:pPr>
        <w:spacing w:before="20" w:after="20"/>
        <w:ind w:left="170"/>
      </w:pPr>
      <w:r>
        <w:rPr>
          <w:rFonts w:ascii="Calibri" w:hAnsi="Calibri"/>
          <w:b/>
          <w:color w:val="4A6B25"/>
          <w:sz w:val="15"/>
        </w:rPr>
        <w:t xml:space="preserve">2. </w:t>
      </w:r>
      <w:r>
        <w:rPr>
          <w:rFonts w:ascii="Calibri" w:hAnsi="Calibri"/>
          <w:b w:val="0"/>
          <w:color w:val="3A4A28"/>
          <w:sz w:val="17"/>
        </w:rPr>
        <w:t>Nasdaq / MarketBeat — HSBC 2026 earnings forecast and guidance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Banking Dive / StartupHub / HSBC Newsroom — David Rice Chief AI Officer appointment, 85% GenAI enablement, 20K role reduction risk, March 2026</w:t>
      </w:r>
    </w:p>
    <w:p>
      <w:pPr>
        <w:spacing w:before="20" w:after="20"/>
        <w:ind w:left="170"/>
      </w:pPr>
      <w:r>
        <w:rPr>
          <w:rFonts w:ascii="Calibri" w:hAnsi="Calibri"/>
          <w:b/>
          <w:color w:val="4A6B25"/>
          <w:sz w:val="15"/>
        </w:rPr>
        <w:t xml:space="preserve">4. </w:t>
      </w:r>
      <w:r>
        <w:rPr>
          <w:rFonts w:ascii="Calibri" w:hAnsi="Calibri"/>
          <w:b w:val="0"/>
          <w:color w:val="3A4A28"/>
          <w:sz w:val="17"/>
        </w:rPr>
        <w:t>DOJ / ICIJ / AML Intelligence — HSBC $1.92B money laundering settlement, continued AML violations, Salameh investigation, 2012-2025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HSBC (HSBC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