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HSIC</w:t>
      </w:r>
      <w:r>
        <w:rPr>
          <w:rFonts w:ascii="Calibri" w:hAnsi="Calibri"/>
          <w:b/>
          <w:color w:val="1A2010"/>
          <w:sz w:val="40"/>
        </w:rPr>
        <w:t xml:space="preserve">  Henry Schein, Inc.</w:t>
      </w:r>
    </w:p>
    <w:p>
      <w:pPr>
        <w:spacing w:after="120"/>
      </w:pPr>
      <w:r>
        <w:rPr>
          <w:rFonts w:ascii="Calibri" w:hAnsi="Calibri"/>
          <w:b/>
          <w:color w:val="6E8450"/>
          <w:sz w:val="18"/>
        </w:rPr>
        <w:t>GROWTH SLEEVE · 2026-04-28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Distribution · NASDAQ · United States</w:t>
      </w:r>
    </w:p>
    <w:p>
      <w:pPr>
        <w:spacing w:after="80"/>
      </w:pPr>
      <w:r>
        <w:rPr>
          <w:rFonts w:ascii="Calibri" w:hAnsi="Calibri"/>
          <w:b w:val="0"/>
          <w:color w:val="3A4A28"/>
          <w:sz w:val="20"/>
        </w:rPr>
        <w:t>Henry Schein is a global distributor of healthcare products and services to office-based dental, medical, and animal health practitioners. The company operates through two segments: Health Care Distribution (dental, medical, and animal health products) and Technology and Value-Added Services (practice management software, electronic health records, and financial services for healthcare practitioners).</w:t>
      </w:r>
    </w:p>
    <w:p>
      <w:r>
        <w:rPr>
          <w:rFonts w:ascii="Calibri" w:hAnsi="Calibri"/>
          <w:b/>
          <w:color w:val="6E8450"/>
          <w:sz w:val="18"/>
        </w:rPr>
        <w:t>25,000 Employees · https://www.henryschein.com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Henry Schein has made incremental product and service expansions over the past five years, including the Henry Schein One dental technology platform consolidation and strategic investments in practice management software, but has not launched a category-defining product or executed a transformative business model pivot [1]. Revenue grew from $10.1B in 2020 to $13.2B in 2025, driven primarily by distribution volume rather than innovation. AI Deployment (1/2): Henry Schein has entered a partnership with Amazon Web Services on generative AI in dentistry, integrating AI into electronic medical records, digital scanning, and imaging applications sold through Henry Schein One [2]. This represents genuine AI product deployment to dental practitioners. Market Share (1/2): Henry Schein is one of the two dominant dental distributors in the US alongside Patterson Companies, holding approximately 30%+ market share in dental distribution. The company is a meaningful player but not gaining share rapidly — the dental distribution market is mature and consolidated [1]. Product Pipeline (1/2): The AWS GenAI partnership for dentistry and continued development of the Henry Schein One practice management platform represent a genuine technology pipeline, though specific next-gen product timelines and revenue visibility are limited [2]. R&amp;D Intensity (1/1): While R&amp;D spending data is not separately disclosed, the company's investment in Henry Schein One technology, the AWS AI partnership, and KKR's $250M strategic investment specifically targeting technology capabilities suggest above-average investment in innovation for a distribution company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Henry Schein's purpose — 'helping health happen' through 'Team Schein' values of mutuality, integrity, and ethical capitalism — is specific and thoughtful [3]. The company has formalized ESG strategy into five focus areas (Empowering Team Schein, Advancing Health Equity, Accelerating Environmental Sustainability, Supply Chain Resilience, Ethical Governance) and donated over $21.5M in healthcare products and cash in 2021 through Henry Schein Cares [3]. This reflects genuine intentionality beyond profit. Community Impact (1/2): Henry Schein Cares and the Henry Schein Cares Foundation donated $21.5M in healthcare products and cash in 2021, and the company has a long history of health equity initiatives and disaster relief support through its 'helping health happen' programs [3]. The charitable commitment is meaningful and aligned with the company's core purpose. Employee Retention (1/2): Stanley Bergman led Henry Schein as CEO for 35 years before stepping down in March 2026, reflecting exceptional leadership continuity [2]. The 'Team Schein' culture and $250M KKR investment specifically targeted employee engagement as a strategic priority. No specific employee turnover data available, but the 35-year CEO tenure is itself a retention signal. Insider Buying (1/2): No evidence of significant net insider buying in the past 12 months. The CEO transition from Bergman to Lowery in March 2026 complicates insider transaction analysis, though Bergman's continued role as Chairman suggests confidence.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Henry Schein scores well on the mechanical Infrastructure calculation, benefiting from a low forward P/E and moderate leverage. D/E of 71.7% is just slightly above the 70% target, reflecting disciplined balance sheet management for a distribution company [4]. ROE of 8.7% is below the 15% target, reflecting the low-margin distribution business model — net income of $398M on $13.2B revenue yields a thin 3.0% profit margin [1]. Forward P/E of 13.1x is attractive, well below the 20x target, pricing in the company's steady but unspectacular growth profile against 2026 EPS guidance of $5.23-$5.37 [1]. Revenue growth of 7.7% YoY and 5-year CAGR of 5.5% are moderate but positive. Forward PEG of 1.71 is above the 1.0 target but below the 3.0 floor, contributing partial score on the 2x-weighted growth metric. Liquidity floor cleared: 1.30M avg volume × $77.20 = $100M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Henry Schein demonstrates solid infinite game characteristics anchored by Stanley Bergman's extraordinary 35-year CEO tenure and the 'Team Schein' culture built around ethical capitalism and health equity. The company has consistently invested in community health and maintained its purpose through market cycles, leadership transitions, and industry disruption. The March 2026 CEO transition to Frederick Lowery introduces uncertainty but was orderly and Bergman remains as Chairman.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Henry Schein's purpose — 'helping health happen' through ethical capitalism — is specific, thoughtful, and has been validated by decades of consistent execution under Bergman's 35-year leadership [3]. The company's $21.5M+ annual charitable donations, health equity programs, and Henry Schein Cares Foundation demonstrate that the cause shapes resource allocation, not just marketing materials. The five-pillar ESG framework connecting team culture, health equity, sustainability, supply chain, and governance reflects strategic integration of purpose. However, the cause is partially rather than transformatively validated — healthcare distribution is the vehicle, not a paradigm-shifting vision. Score: 2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Stanley Bergman's 35-year CEO tenure is extraordinary and reflects an organization where leadership longevity is valued [2]. The 'Team Schein' culture emphasizes mutuality and integrity, and KKR's $250M investment specifically identified employee engagement as a strategic priority, suggesting recognition that culture matters. The orderly CEO transition to Frederick Lowery (an industry veteran) with Bergman remaining as Chairman ensures continuity. However, 25,000 employees across a global distribution network face typical operational pressures, and no specific employee retention or satisfaction data was found.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Henry Schein competes against Patterson Companies in dental distribution and McKesson/Cardinal Health in medical distribution without adopting combative language. The company's competitive strategy emphasizes service quality, technology integration, and practitioner relationships rather than market share warfare. Bergman's 'ethical capitalism' framework explicitly frames the company's role in collaborative rather than zero-sum terms [3].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Henry Schein has evolved from a pure-play dental distributor to a diversified healthcare distribution and technology company over several decades, adding medical distribution, animal health, and the Henry Schein One technology platform [1]. The KKR partnership and AWS GenAI initiative represent continued strategic evolution. However, the company remains fundamentally a healthcare distributor — it has not made a transformative pivot that redefined its identity. The expansion into technology is incremental rather than existential.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Henry Schein demonstrated courage by accepting KKR's $250M strategic investment in January 2025 — a move that signals willingness to transform the business model even at the cost of dilution and increased accountability [2]. The company has consistently invested in technology (Henry Schein One platform) and the AWS AI partnership despite near-term margin pressure. However, the core distribution business model has remained largely unchanged for decades, and the CEO transition itself was somewhat forced by activist and PE pressure rather than a purely cause-driven strategic choice.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Henry Schein offers defensive healthcare distribution exposure at an attractive 13.1x forward P/E, with 2026 EPS guidance of $5.23-$5.37 representing potential double-digit earnings growth after a recovery year in 2025 [1]. The KKR $250M strategic investment provides a catalyst for operational improvement and technology transformation, while the AWS GenAI partnership positions Henry Schein One as the first major dental practice management platform with embedded AI capabilities [2]. At $8.9B market cap, the company dominates dental distribution with 30%+ market share alongside Patterson, creating a duopoly with significant switching costs — dental practitioners are deeply integrated with their distributor's ordering, inventory, and practice management systems. Revenue guidance of $13.6-$13.8B for 2026 implies 3-5% growth with margin expansion potential from KKR-driven operational improvements.</w:t>
      </w:r>
    </w:p>
    <w:p>
      <w:pPr>
        <w:spacing w:after="120"/>
      </w:pPr>
      <w:r>
        <w:rPr>
          <w:rFonts w:ascii="Calibri" w:hAnsi="Calibri"/>
          <w:b w:val="0"/>
          <w:color w:val="3A4A28"/>
          <w:sz w:val="20"/>
        </w:rPr>
        <w:t>The bear case centers on structural margin compression and an uncertain CEO transition. Henry Schein's 3.0% profit margin is razor-thin for a $13B revenue company, and distribution businesses face persistent pressure from manufacturer direct-to-practitioner channels and AI-powered procurement platforms that could disintermediate traditional distributors [1]. ROE of only 8.7% — well below the 15% cost of equity threshold — demonstrates the company does not earn adequate returns on capital. The CEO transition from 35-year veteran Bergman to industry outsider Lowery in March 2026 creates meaningful execution risk at a critical juncture when the company must simultaneously integrate KKR's strategic agenda, deploy AI technology, and defend market share against digital disruptors [2]. Dental procedure volumes remain soft amid consumer spending constraints, and the animal health segment faces its own competitive pressures. The stock's 23.6x trailing P/E (vs. 13.1x forward) reflects how much earnings recovery is already priced in — any disappointment on the $5.23-$5.37 EPS guide could sharply reprice the stock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KKR $250M strategic investment driving operational transformation, technology acceleration, and margin improvement across distribution and technology segments [2]</w:t>
      </w:r>
    </w:p>
    <w:p>
      <w:pPr>
        <w:spacing w:before="40" w:after="40"/>
        <w:ind w:left="283"/>
      </w:pPr>
      <w:r>
        <w:rPr>
          <w:rFonts w:ascii="Calibri" w:hAnsi="Calibri"/>
          <w:b/>
          <w:color w:val="4A6B25"/>
          <w:sz w:val="20"/>
        </w:rPr>
        <w:t xml:space="preserve">2. </w:t>
      </w:r>
      <w:r>
        <w:rPr>
          <w:rFonts w:ascii="Calibri" w:hAnsi="Calibri"/>
          <w:b w:val="0"/>
          <w:color w:val="3A4A28"/>
          <w:sz w:val="20"/>
        </w:rPr>
        <w:t>AWS GenAI partnership embedding artificial intelligence into Henry Schein One's dental practice management, electronic records, and imaging platform — first-mover advantage in AI-powered dentistry [2]</w:t>
      </w:r>
    </w:p>
    <w:p>
      <w:pPr>
        <w:spacing w:before="40" w:after="40"/>
        <w:ind w:left="283"/>
      </w:pPr>
      <w:r>
        <w:rPr>
          <w:rFonts w:ascii="Calibri" w:hAnsi="Calibri"/>
          <w:b/>
          <w:color w:val="4A6B25"/>
          <w:sz w:val="20"/>
        </w:rPr>
        <w:t xml:space="preserve">3. </w:t>
      </w:r>
      <w:r>
        <w:rPr>
          <w:rFonts w:ascii="Calibri" w:hAnsi="Calibri"/>
          <w:b w:val="0"/>
          <w:color w:val="3A4A28"/>
          <w:sz w:val="20"/>
        </w:rPr>
        <w:t>2026 EPS guidance of $5.23-$5.37 represents significant earnings growth, with additional upside potential from dental procedure volume recovery and margin expansion under new CEO Lowery's operational focus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transition risk — replacement of 35-year CEO Bergman with industry outsider Lowery in March 2026 at a critical strategic inflection point requiring simultaneous technology transformation, KKR integration, and market defense [2]</w:t>
      </w:r>
    </w:p>
    <w:p>
      <w:pPr>
        <w:spacing w:before="40" w:after="40"/>
        <w:ind w:left="283"/>
      </w:pPr>
      <w:r>
        <w:rPr>
          <w:rFonts w:ascii="Calibri" w:hAnsi="Calibri"/>
          <w:b/>
          <w:color w:val="4A6B25"/>
          <w:sz w:val="20"/>
        </w:rPr>
        <w:t xml:space="preserve">2. </w:t>
      </w:r>
      <w:r>
        <w:rPr>
          <w:rFonts w:ascii="Calibri" w:hAnsi="Calibri"/>
          <w:b w:val="0"/>
          <w:color w:val="3A4A28"/>
          <w:sz w:val="20"/>
        </w:rPr>
        <w:t>Distribution disintermediation — AI-powered procurement platforms and manufacturer direct channels could bypass traditional distributors, threatening the core dental and medical distribution model that generates the vast majority of revenue [1]</w:t>
      </w:r>
    </w:p>
    <w:p>
      <w:pPr>
        <w:spacing w:before="40" w:after="40"/>
        <w:ind w:left="283"/>
      </w:pPr>
      <w:r>
        <w:rPr>
          <w:rFonts w:ascii="Calibri" w:hAnsi="Calibri"/>
          <w:b/>
          <w:color w:val="4A6B25"/>
          <w:sz w:val="20"/>
        </w:rPr>
        <w:t xml:space="preserve">3. </w:t>
      </w:r>
      <w:r>
        <w:rPr>
          <w:rFonts w:ascii="Calibri" w:hAnsi="Calibri"/>
          <w:b w:val="0"/>
          <w:color w:val="3A4A28"/>
          <w:sz w:val="20"/>
        </w:rPr>
        <w:t>Razor-thin margins — 3.0% profit margin and 8.7% ROE leave minimal buffer for execution missteps, competitive pricing pressure, or macroeconomic weakness that reduces dental procedure volumes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Henry Schein's core distribution business — physically delivering dental, medical, and animal health products to practitioner offices — has significant protection from AI substitution. Supply chain logistics, warehousing, and last-mile delivery to healthcare offices cannot be replaced by software [1]. However, the company's Technology and Value-Added Services segment faces meaningful AI exposure: practice management software and electronic health records could be disrupted by AI-native competitors offering more intelligent, lower-cost solutions. AI-powered procurement platforms could also disintermediate distributors by connecting manufacturers directly with practitioners. The dental market itself faces AI disruption in diagnostics and treatment planning, which could shift value away from traditional distribution models. Henry Schein's proactive AWS GenAI partnership and AI integration into imaging and scanning products demonstrate awareness and adaptation [2]. AI Opportunity (1/1): Henry Schein generates meaningful AI-related revenue through its AWS GenAI partnership for dentistry, AI-integrated digital scanning, imaging solutions, and electronic medical records sold through Henry Schein One [2]. These are commercially deployed products generating practitioner-facing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Henry Schein FY2025 results and 2026 guidance — $13.2B revenue (+4%), $398M net income, 2026 guidance $13.6-$13.8B revenue and $5.23-$5.37 EPS; investor.henryschein.com, February 2026</w:t>
      </w:r>
    </w:p>
    <w:p>
      <w:pPr>
        <w:spacing w:before="20" w:after="20"/>
        <w:ind w:left="170"/>
      </w:pPr>
      <w:r>
        <w:rPr>
          <w:rFonts w:ascii="Calibri" w:hAnsi="Calibri"/>
          <w:b/>
          <w:color w:val="4A6B25"/>
          <w:sz w:val="15"/>
        </w:rPr>
        <w:t xml:space="preserve">2. </w:t>
      </w:r>
      <w:r>
        <w:rPr>
          <w:rFonts w:ascii="Calibri" w:hAnsi="Calibri"/>
          <w:b w:val="0"/>
          <w:color w:val="3A4A28"/>
          <w:sz w:val="17"/>
        </w:rPr>
        <w:t>Henry Schein leadership and AI strategy — CEO transition from Bergman (35 years) to Lowery (March 2026), KKR $250M investment, AWS GenAI partnership in dentistry; Yahoo Finance, Investing.com, Oral Health Group, 2025-2026</w:t>
      </w:r>
    </w:p>
    <w:p>
      <w:pPr>
        <w:spacing w:before="20" w:after="20"/>
        <w:ind w:left="170"/>
      </w:pPr>
      <w:r>
        <w:rPr>
          <w:rFonts w:ascii="Calibri" w:hAnsi="Calibri"/>
          <w:b/>
          <w:color w:val="4A6B25"/>
          <w:sz w:val="15"/>
        </w:rPr>
        <w:t xml:space="preserve">3. </w:t>
      </w:r>
      <w:r>
        <w:rPr>
          <w:rFonts w:ascii="Calibri" w:hAnsi="Calibri"/>
          <w:b w:val="0"/>
          <w:color w:val="3A4A28"/>
          <w:sz w:val="17"/>
        </w:rPr>
        <w:t>Henry Schein ESG and community impact — $21.5M donated through Henry Schein Cares, 5-pillar ESG strategy, ethical capitalism framework, net-zero 2050 commitment; BusinessWire, company website, 2021-2025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HSIC — key statistics including D/E 71.7%, Forward P/E 13.1x, ROE 8.7%, avg volume 1.30M;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