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HST</w:t>
      </w:r>
      <w:r>
        <w:rPr>
          <w:rFonts w:ascii="Calibri" w:hAnsi="Calibri"/>
          <w:b/>
          <w:color w:val="1A2010"/>
          <w:sz w:val="40"/>
        </w:rPr>
        <w:t xml:space="preserve">  Host Hotels &amp; Resorts, Inc.</w:t>
      </w:r>
    </w:p>
    <w:p>
      <w:pPr>
        <w:spacing w:after="120"/>
      </w:pPr>
      <w:r>
        <w:rPr>
          <w:rFonts w:ascii="Calibri" w:hAnsi="Calibri"/>
          <w:b/>
          <w:color w:val="6E8450"/>
          <w:sz w:val="18"/>
        </w:rPr>
        <w:t>DIVIDEND SLEEVE · 2026-03-27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NASDAQ · United States</w:t>
      </w:r>
    </w:p>
    <w:p>
      <w:pPr>
        <w:spacing w:after="80"/>
      </w:pPr>
      <w:r>
        <w:rPr>
          <w:rFonts w:ascii="Calibri" w:hAnsi="Calibri"/>
          <w:b w:val="0"/>
          <w:color w:val="3A4A28"/>
          <w:sz w:val="20"/>
        </w:rPr>
        <w:t>Host Hotels &amp; Resorts is an S&amp;P 500 company and the largest lodging REIT, owning 76 luxury and upper-upscale hotel properties totaling approximately 41,700 rooms across the United States and internationally, including brands like Marriott, Hyatt, and Hilton.</w:t>
      </w:r>
    </w:p>
    <w:p>
      <w:r>
        <w:rPr>
          <w:rFonts w:ascii="Calibri" w:hAnsi="Calibri"/>
          <w:b/>
          <w:color w:val="6E8450"/>
          <w:sz w:val="18"/>
        </w:rPr>
        <w:t>162 Employees · https://www.hosthotels.com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Host outperformed the upper-tier industry RevPAR growth by 200 basis points in 2025, demonstrating asset selection and management expertise [1]. Full-year comparable Total RevPAR increased 4.2%, and Q4 revenue surged 12.2% to $1.60B. The company actively manages its portfolio, executing $1.4B in asset sales and $644M in capital expenditures during 2025. However, as a REIT that owns and manages hotels operated by third-party brands, innovation is limited to portfolio strategy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Host's position as the largest lodging REIT in the S&amp;P 500 provides brand prestige, and the company returned $859M to shareholders in 2025 including a special dividend [1]. However, with only 162 corporate employees (hotel staff are employed by operators), the organizational culture footprint is minimal. The company's focus on luxury and upper-upscale properties serves affluent travelers rather than addressing broader societal needs.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Host's financials demonstrate a well-managed lodging REIT: 12.8% revenue growth, 12.5% profit margin, and 2026 guidance for net income growth of 11.5% to $865M [1]. The 4.1% dividend yield at 72.7% payout is typical for a REIT and well-covered by FFO. 2026 adjusted FFO of $2.07/share and EBITDAre of $1.77B provide strong coverage. D/E of 83.8% is moderate for a REIT, and the recent $400M bond issuance at 4.25% refinances 2026 maturities at favorable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Host's 35+ year history as a lodging REIT and focus on premium properties demonstrate long-term investment thinking. The active portfolio management, debt refinancing at favorable rates, and shareholder-friendly capital allocation reflect sound stewardship, though the REIT model's income-distribution requirement limits strategic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Host's role in providing world-class hospitality experiences through its premium hotel portfolio serves the travel and tourism industry [1]. The company's commitment to sustainability (energy management, waste reduction) adds societal value. However, luxury hotel ownership is inherently a financial-returns-driven activity rather than a mission-driven enterprise.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162 corporate employees, Host operates as a lean capital allocation team. Hotel operations are managed by third-party brands, which means Host's organizational culture impact is narrow [1]. The expertise required in real estate finance, asset management, and capital markets creates a high-trust, high-competence small team environment.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Host competes with Park Hotels, Pebblebrook, and RLJ Lodging for premium hotel assets. The company's outperformance of upper-tier industry RevPAR by 200bp demonstrates competitive positioning through superior asset selection [1]. Active portfolio management ($1.4B in sales) shows willingness to divest underperforming properties.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Host has demonstrated strategic flexibility through the $1.4B in 2025 asset sales and $644M in targeted capital expenditures, continuously upgrading its portfolio [1]. The $400M bond issuance at 4.25% to refinance 2026 maturities shows proactive financial management. However, the REIT structure and luxury hotel focus limit the range of strategic pivots available.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Returning $859M to shareholders in 2025 (including a special dividend) while investing $644M in property improvements demonstrates confidence in the lodging cycle [1]. The 2026 guidance for 2.5-4.0% RevPAR growth with stable margins suggests cautiously optimistic forward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Host Hotels at 20.1x forward P/E (but ~9.4x 2026 adjusted FFO of $2.07) offers an attractive entry into the largest lodging REIT, with a 4.1% dividend yield and 2026 guidance for 2.5-4.0% RevPAR growth [1]. Full-year 2025 revenue grew 7.75% to $6.13B with comparable RevPAR up 4.2%, outperforming the upper-tier industry by 200bp. The company actively manages its portfolio with $1.4B in sales and $644M in capex, and returned $859M to shareholders including a special dividend. The $400M bond refinancing at 4.25% reduces 2026 maturity risk.</w:t>
      </w:r>
    </w:p>
    <w:p>
      <w:pPr>
        <w:spacing w:after="120"/>
      </w:pPr>
      <w:r>
        <w:rPr>
          <w:rFonts w:ascii="Calibri" w:hAnsi="Calibri"/>
          <w:b w:val="0"/>
          <w:color w:val="3A4A28"/>
          <w:sz w:val="20"/>
        </w:rPr>
        <w:t>The bear case centers on cyclical lodging risk and valuation. The 20.1x forward P/E appears full for a cyclical REIT, and 2026 guidance for flat-to-slightly-improved EBITDA margins suggests limited near-term upside [1]. Wage inflation of approximately 5% pressures operating margins, and economic uncertainty could reduce business and leisure travel demand. Host's concentration in luxury and upper-upscale properties means revenue is highly sensitive to corporate travel budgets, which are among the first costs cut during economic downturns. The REIT distribution requirement limits capital retention for opportunistic acquisitions, and 83.8% D/E adds interest rate sensitivity.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RevPAR growth of 2.5-4.0% in 2026 with 200bp+ outperformance of industry benchmarks would validate Host's premium portfolio positioning [1]</w:t>
      </w:r>
    </w:p>
    <w:p>
      <w:pPr>
        <w:spacing w:before="40" w:after="40"/>
        <w:ind w:left="283"/>
      </w:pPr>
      <w:r>
        <w:rPr>
          <w:rFonts w:ascii="Calibri" w:hAnsi="Calibri"/>
          <w:b/>
          <w:color w:val="4A6B25"/>
          <w:sz w:val="20"/>
        </w:rPr>
        <w:t xml:space="preserve">2. </w:t>
      </w:r>
      <w:r>
        <w:rPr>
          <w:rFonts w:ascii="Calibri" w:hAnsi="Calibri"/>
          <w:b w:val="0"/>
          <w:color w:val="3A4A28"/>
          <w:sz w:val="20"/>
        </w:rPr>
        <w:t>Net income growth of 11.5% to $865M in 2026 could support additional special dividends or accelerated share buybacks beyond the $859M returned in 2025 [1]</w:t>
      </w:r>
    </w:p>
    <w:p>
      <w:pPr>
        <w:spacing w:before="40" w:after="40"/>
        <w:ind w:left="283"/>
      </w:pPr>
      <w:r>
        <w:rPr>
          <w:rFonts w:ascii="Calibri" w:hAnsi="Calibri"/>
          <w:b/>
          <w:color w:val="4A6B25"/>
          <w:sz w:val="20"/>
        </w:rPr>
        <w:t xml:space="preserve">3. </w:t>
      </w:r>
      <w:r>
        <w:rPr>
          <w:rFonts w:ascii="Calibri" w:hAnsi="Calibri"/>
          <w:b w:val="0"/>
          <w:color w:val="3A4A28"/>
          <w:sz w:val="20"/>
        </w:rPr>
        <w:t>Continued portfolio optimization through selective asset sales and premium acquisitions could improve average RevPAR per property and long-term growth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Wage inflation of ~5% in 2026 directly pressures hotel operating margins, and Host has limited ability to influence labor costs managed by third-party operators [1]</w:t>
      </w:r>
    </w:p>
    <w:p>
      <w:pPr>
        <w:spacing w:before="40" w:after="40"/>
        <w:ind w:left="283"/>
      </w:pPr>
      <w:r>
        <w:rPr>
          <w:rFonts w:ascii="Calibri" w:hAnsi="Calibri"/>
          <w:b/>
          <w:color w:val="4A6B25"/>
          <w:sz w:val="20"/>
        </w:rPr>
        <w:t xml:space="preserve">2. </w:t>
      </w:r>
      <w:r>
        <w:rPr>
          <w:rFonts w:ascii="Calibri" w:hAnsi="Calibri"/>
          <w:b w:val="0"/>
          <w:color w:val="3A4A28"/>
          <w:sz w:val="20"/>
        </w:rPr>
        <w:t>Economic recession would disproportionately impact luxury travel demand, potentially causing 10-20% RevPAR decline similar to the 2020 experience</w:t>
      </w:r>
    </w:p>
    <w:p>
      <w:pPr>
        <w:spacing w:before="40" w:after="40"/>
        <w:ind w:left="283"/>
      </w:pPr>
      <w:r>
        <w:rPr>
          <w:rFonts w:ascii="Calibri" w:hAnsi="Calibri"/>
          <w:b/>
          <w:color w:val="4A6B25"/>
          <w:sz w:val="20"/>
        </w:rPr>
        <w:t xml:space="preserve">3. </w:t>
      </w:r>
      <w:r>
        <w:rPr>
          <w:rFonts w:ascii="Calibri" w:hAnsi="Calibri"/>
          <w:b w:val="0"/>
          <w:color w:val="3A4A28"/>
          <w:sz w:val="20"/>
        </w:rPr>
        <w:t>Corporate travel budgets are increasingly scrutinized post-pandemic, with virtual meetings structurally reducing business travel demand for upper-upscale hotels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luxury hotel segment faces limited direct AI disruption, as premium hospitality remains fundamentally human-service oriented. AI can enhance guest personalization, dynamic pricing, and operational efficiency, but these are incremental benefits for a property owner like Host that relies on Marriott, Hyatt, and Hilton operators to implement technology [1]. AI-driven business travel could either increase demand (corporate meetings) or decrease it (virtual collaboration), creating offsetting impacts.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Host Hotels &amp; Resorts FY2025 Annual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Host Hotels Investor Presentation Q4 2025 — hosthotels.com</w:t>
      </w:r>
    </w:p>
    <w:p>
      <w:pPr>
        <w:spacing w:before="20" w:after="20"/>
        <w:ind w:left="170"/>
      </w:pPr>
      <w:r>
        <w:rPr>
          <w:rFonts w:ascii="Calibri" w:hAnsi="Calibri"/>
          <w:b/>
          <w:color w:val="4A6B25"/>
          <w:sz w:val="15"/>
        </w:rPr>
        <w:t xml:space="preserve">3. </w:t>
      </w:r>
      <w:r>
        <w:rPr>
          <w:rFonts w:ascii="Calibri" w:hAnsi="Calibri"/>
          <w:b w:val="0"/>
          <w:color w:val="3A4A28"/>
          <w:sz w:val="17"/>
        </w:rPr>
        <w:t>Yahoo Finance — HST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