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HTFL</w:t>
      </w:r>
      <w:r>
        <w:rPr>
          <w:rFonts w:ascii="Calibri" w:hAnsi="Calibri"/>
          <w:b/>
          <w:color w:val="1A2010"/>
          <w:sz w:val="40"/>
        </w:rPr>
        <w:t xml:space="preserve">  HeartFlow, Inc.</w:t>
      </w:r>
    </w:p>
    <w:p>
      <w:pPr>
        <w:spacing w:after="120"/>
      </w:pPr>
      <w:r>
        <w:rPr>
          <w:rFonts w:ascii="Calibri" w:hAnsi="Calibri"/>
          <w:b/>
          <w:color w:val="6E8450"/>
          <w:sz w:val="18"/>
        </w:rPr>
        <w:t>GROWTH SLEEVE · 2026-04-26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HeartFlow is a medical technology company using AI and computational fluid dynamics to create personalized 3D models of patients' hearts from coronary CT angiography scans. Its platform provides non-invasive diagnostic solutions for coronary artery disease, including RoadMap Analysis, FFRCT Analysis, and Plaque Analysis products.</w:t>
      </w:r>
    </w:p>
    <w:p>
      <w:r>
        <w:rPr>
          <w:rFonts w:ascii="Calibri" w:hAnsi="Calibri"/>
          <w:b/>
          <w:color w:val="6E8450"/>
          <w:sz w:val="18"/>
        </w:rPr>
        <w:t>843 Employees · https://www.heartflow.com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HeartFlow delivered 40% YoY revenue growth in FY2025 to $176M, with Q4 revenue of $49.1M also up 40% [1]. The company successfully expanded from its core FFRCT Analysis to launch Plaque Analysis, which received a Category 1 CPT code in 2026 with commercial coverage reaching 57% of U.S. lives [1]. AI Deployment (2/2): HeartFlow's entire platform is AI-powered — using deep learning and computational fluid dynamics to create 3D heart models from standard CT scans, directly replacing invasive catheterization procedures for coronary artery disease diagnosis [1][3]. Market Share (2/2): HeartFlow is the category creator and dominant player in non-invasive FFR-CT analysis, with FDA clearance and growing clinical adoption. Competitors entering the space are described as offering substandard products competing on price [2]. Pipeline (1/2): PCI Navigator launch accelerated, and Plaque Analysis expansion with defined Medicare payment rates provides specific revenue visibility, though the company guided $218M-$222M for 2026 (24-26% growth) [1]. R&amp;D Intensity (0/1): R&amp;D spending is substantial but the company operates at a -36% operating margin, making R&amp;D intensity relative to revenue difficult to benchmark favorably against profitable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HeartFlow's mission — transforming the diagnosis and management of cardiovascular disease, the world's leading cause of death — is specific, purposeful, and directly tied to patient outcomes. The company's technology replaces invasive diagnostic procedures with a non-invasive AI-powered analysis, connecting its work to a genuine healthcare need [3]. Community Impact (1/2): HeartFlow's technology directly improves patient outcomes by reducing unnecessary invasive cardiac catheterizations, though no specific charitable or community programs were identified beyond its core product mission [3]. Employee Retention (0/2): Glassdoor rating of 2.9/5.0 with only 43% of employees recommending the company signals significant retention challenges. Reviews cite low morale, forced culture, and leadership that prioritizes pleasing the CEO over honest dialogue [2]. Insider Buying (1/2): No specific insider buying data was found in research, but management has maintained equity exposure through the company's IPO transition.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HeartFlow shows a split financial profile — exceptional revenue growth of 40% YoY and minimal debt (D/E 7.3%) offset by deep unprofitability [1][4]. The company reported a net loss of $116.8M on $176M revenue in FY2025, yielding a profit margin of -66% and ROE of -111% [4]. Cash position of $280.2M provides runway but operating cash flow remains negative at -$54M [1]. Forward P/E is meaningless at -101x given negative earnings. Gross margin improvement to 79.5% in Q4 and guidance for 80-81% in 2026 is a positive trend, but GAAP profitability remains distant [1]. Liquidity floor cleared: 1.6M avg volume × $30.44 = $49M daily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HeartFlow has a genuine Just Cause in transforming cardiovascular diagnosis, but significant leadership and cultural challenges undermine its infinite game potential. The technology is truly disruptive, yet management has been criticized for failing to execute on its ambitious vision and for creating a low-trust internal environment that hinders the company's mission.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HeartFlow's cause — eliminating unnecessary invasive cardiac procedures through AI-powered non-invasive diagnosis — is genuinely compelling and tied to the world's leading cause of death [3]. The cause is specific, service-oriented, and validated by growing clinical adoption. However, the company was founded in 2007 and has yet to achieve profitability after 19 years, raising questions about whether the cause is being efficiently advanced (2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2.9/5.0 with 43% recommendation rate signals a low-trust environment [2]. Reviews describe 'low morale and forced culture,' leadership that prioritizes 'pleasing the CEO rather than driving open and honest conversations,' and people placed in positions they are not qualified for to push out competent employees [2]. This is a clear low-trust organization by Sinek's standards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HeartFlow's competitive language focuses on its technological superiority, describing competitors as offering 'substandard products' competing on price [2]. This framing suggests a finite competitive mindset — defining success by others' weaknesses rather than using competition as motivation for self-improvement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HeartFlow has shown incremental flexibility by expanding from its core FFRCT product to Plaque Analysis and PCI Navigator, adapting its platform to address adjacent clinical needs [1]. The transition from a private company to public markets and the expansion of its product portfolio demonstrate some strategic evolution, though these are extensions of the same core technology rather than transformative pivots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HeartFlow has invested heavily in R&amp;D for 19 years without achieving profitability, which requires conviction in the long-term vision [1]. The decision to pursue a Category 1 CPT code for Plaque Analysis — a multi-year regulatory effort — shows patience over short-term revenue maximization. However, the persistent leadership criticism and inability to translate vision into execution tempers the courage assessment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HeartFlow is a high-growth AI-powered medical technology company that delivered 40% revenue growth in FY2025 to $176M, with guidance for $218M-$222M in 2026 (24-26% growth) [1]. The company's non-invasive cardiac diagnostic platform is a genuine category creator, with gross margins expanding to 79.5% in Q4 and guided to 80-81% for 2026. The Plaque Analysis product received a Category 1 CPT code with 57% commercial coverage, opening a significant new revenue stream. Cash of $280.2M provides adequate runway, and the technology addresses a $10B+ cardiovascular diagnostic market [1][3].</w:t>
      </w:r>
    </w:p>
    <w:p>
      <w:pPr>
        <w:spacing w:after="120"/>
      </w:pPr>
      <w:r>
        <w:rPr>
          <w:rFonts w:ascii="Calibri" w:hAnsi="Calibri"/>
          <w:b w:val="0"/>
          <w:color w:val="3A4A28"/>
          <w:sz w:val="20"/>
        </w:rPr>
        <w:t>The bear case centers on persistent unprofitability and cultural dysfunction. HeartFlow lost $116.8M in FY2025 on $176M revenue (-66% profit margin), with operating cash flow of -$54M [4]. After 19 years in business, the path to GAAP profitability remains unclear despite improving unit economics. Glassdoor reviews (2.9/5.0) reveal significant internal challenges including low morale, forced culture, and leadership credibility issues [2]. Forward P/E is meaningless at -101x. Competition from AI-enabled cardiac imaging entrants could pressure pricing, and the company's reliance on favorable reimbursement decisions creates regulatory risk. The $2.6B market cap at 15x trailing revenue requires sustained 25%+ growth and a credible profitability timeline to justify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Plaque Analysis Category 1 CPT code activation in 2026 with defined Medicare payment rates and 57% commercial coverage, potentially adding a material revenue stream [1]</w:t>
      </w:r>
    </w:p>
    <w:p>
      <w:pPr>
        <w:spacing w:before="40" w:after="40"/>
        <w:ind w:left="283"/>
      </w:pPr>
      <w:r>
        <w:rPr>
          <w:rFonts w:ascii="Calibri" w:hAnsi="Calibri"/>
          <w:b/>
          <w:color w:val="4A6B25"/>
          <w:sz w:val="20"/>
        </w:rPr>
        <w:t xml:space="preserve">2. </w:t>
      </w:r>
      <w:r>
        <w:rPr>
          <w:rFonts w:ascii="Calibri" w:hAnsi="Calibri"/>
          <w:b w:val="0"/>
          <w:color w:val="3A4A28"/>
          <w:sz w:val="20"/>
        </w:rPr>
        <w:t>PCI Navigator launch acceleration providing interventional cardiologists with pre-procedure planning tools, expanding the platform's clinical utility [1]</w:t>
      </w:r>
    </w:p>
    <w:p>
      <w:pPr>
        <w:spacing w:before="40" w:after="40"/>
        <w:ind w:left="283"/>
      </w:pPr>
      <w:r>
        <w:rPr>
          <w:rFonts w:ascii="Calibri" w:hAnsi="Calibri"/>
          <w:b/>
          <w:color w:val="4A6B25"/>
          <w:sz w:val="20"/>
        </w:rPr>
        <w:t xml:space="preserve">3. </w:t>
      </w:r>
      <w:r>
        <w:rPr>
          <w:rFonts w:ascii="Calibri" w:hAnsi="Calibri"/>
          <w:b w:val="0"/>
          <w:color w:val="3A4A28"/>
          <w:sz w:val="20"/>
        </w:rPr>
        <w:t>Revenue guidance of $218M-$222M for 2026 with gross margin expansion to 80-81%, moving the company closer to operating leverage and eventual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$116.8M net loss in FY2025 with negative operating cash flow of $54M raises going-concern questions if growth slows before reaching breakeven [4]</w:t>
      </w:r>
    </w:p>
    <w:p>
      <w:pPr>
        <w:spacing w:before="40" w:after="40"/>
        <w:ind w:left="283"/>
      </w:pPr>
      <w:r>
        <w:rPr>
          <w:rFonts w:ascii="Calibri" w:hAnsi="Calibri"/>
          <w:b/>
          <w:color w:val="4A6B25"/>
          <w:sz w:val="20"/>
        </w:rPr>
        <w:t xml:space="preserve">2. </w:t>
      </w:r>
      <w:r>
        <w:rPr>
          <w:rFonts w:ascii="Calibri" w:hAnsi="Calibri"/>
          <w:b w:val="0"/>
          <w:color w:val="3A4A28"/>
          <w:sz w:val="20"/>
        </w:rPr>
        <w:t>Cultural dysfunction with Glassdoor rating of 2.9/5.0 and only 43% employee recommendation rate could impair talent retention and execution quality at a critical growth stage [2]</w:t>
      </w:r>
    </w:p>
    <w:p>
      <w:pPr>
        <w:spacing w:before="40" w:after="40"/>
        <w:ind w:left="283"/>
      </w:pPr>
      <w:r>
        <w:rPr>
          <w:rFonts w:ascii="Calibri" w:hAnsi="Calibri"/>
          <w:b/>
          <w:color w:val="4A6B25"/>
          <w:sz w:val="20"/>
        </w:rPr>
        <w:t xml:space="preserve">3. </w:t>
      </w:r>
      <w:r>
        <w:rPr>
          <w:rFonts w:ascii="Calibri" w:hAnsi="Calibri"/>
          <w:b w:val="0"/>
          <w:color w:val="3A4A28"/>
          <w:sz w:val="20"/>
        </w:rPr>
        <w:t>Reimbursement dependency — the commercial viability of Plaque Analysis and FFRCT depends on continued favorable Medicare and commercial payer coverage decisions, which could be reversed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HeartFlow IS an AI company — its core platform uses deep learning and computational fluid dynamics to create personalized 3D cardiac models from CT scans [3]. AI is not a threat to HeartFlow; it is the product. However, the company operates in a regulated healthcare space where competitors are developing alternative AI-based cardiac imaging solutions, creating substitution risk from better-funded AI entrants [2]. The FDA-cleared regulatory moat and growing clinical adoption (57% commercial coverage for Plaque Analysis) provide meaningful protection, but the company's market position is not yet entrenched enough to be considered immune [1]. AI Opportunity (1/1): 100% of HeartFlow's $176M revenue is AI-generated — the platform is an AI product delivering clinical diagnostics using machine learning and computational modeling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HeartFlow Q4 and Full Year 2025 Earnings Release — $176M revenue, 40% growth, $218-222M 2026 guidance, March 18,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for HeartFlow — 2.9/5.0 rating, 167 reviews, leadership and culture concerns</w:t>
      </w:r>
    </w:p>
    <w:p>
      <w:pPr>
        <w:spacing w:before="20" w:after="20"/>
        <w:ind w:left="170"/>
      </w:pPr>
      <w:r>
        <w:rPr>
          <w:rFonts w:ascii="Calibri" w:hAnsi="Calibri"/>
          <w:b/>
          <w:color w:val="4A6B25"/>
          <w:sz w:val="15"/>
        </w:rPr>
        <w:t xml:space="preserve">3. </w:t>
      </w:r>
      <w:r>
        <w:rPr>
          <w:rFonts w:ascii="Calibri" w:hAnsi="Calibri"/>
          <w:b w:val="0"/>
          <w:color w:val="3A4A28"/>
          <w:sz w:val="17"/>
        </w:rPr>
        <w:t>HeartFlow corporate website — mission, platform description, product portfolio</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HTFL,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