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HTGC</w:t>
      </w:r>
      <w:r>
        <w:rPr>
          <w:rFonts w:ascii="Calibri" w:hAnsi="Calibri"/>
          <w:b/>
          <w:color w:val="1A2010"/>
          <w:sz w:val="40"/>
        </w:rPr>
        <w:t xml:space="preserve">  Hercules Capital, Inc.</w:t>
      </w:r>
    </w:p>
    <w:p>
      <w:pPr>
        <w:spacing w:after="120"/>
      </w:pPr>
      <w:r>
        <w:rPr>
          <w:rFonts w:ascii="Calibri" w:hAnsi="Calibri"/>
          <w:b/>
          <w:color w:val="6E8450"/>
          <w:sz w:val="18"/>
        </w:rPr>
        <w:t>DIVIDEND SLEEVE · 2026-04-13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Hercules Capital is the largest publicly traded venture-lending business development company (BDC), providing senior-secured debt to venture-capital-backed technology and life sciences companies. Since inception in December 2003, Hercules has committed more than $8.2B to over 440 companies, generating income from interest, fees, and equity warrants.</w:t>
      </w:r>
    </w:p>
    <w:p>
      <w:r>
        <w:rPr>
          <w:rFonts w:ascii="Calibri" w:hAnsi="Calibri"/>
          <w:b/>
          <w:color w:val="6E8450"/>
          <w:sz w:val="18"/>
        </w:rPr>
        <w:t>130 Employees · https://www.htgc.com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Hercules has committed $8.2B+ to 440+ companies since 2003 and remains the dominant publicly traded venture-debt BDC, but a February 2026 Hunterbrook short report and subsequent securities class actions have raised serious questions about portfolio valuation marks and deal sourcing rigor [4]. AI Deployment (1/2): Hercules's edge is human credit underwriting and venture relationships rather than AI; the company funds AI portfolio companies but does not deploy meaningful proprietary AI internally. Market Share (1/2): Largest publicly traded venture lender, but the Hunterbrook allegation that Hercules largely 'copies' Google Ventures' published deal list undermines the quality-of-sourcing narrative that justified premium NII multiples [4]. Pipeline (1/2): Record deal commitments through 2025 reflect strong gross origination, but pending litigation creates overhang on future originations [4]. R&amp;D Intensity (0/1): Not applicable to a BDC; capital allocation to portfolio companies is the relevant analog and is now under scrutiny.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Hercules frames its mission as 'empowering innovators' through venture debt, a serviceable but not transcendent purpose. The Hunterbrook allegations that the company misclassifies portfolio investments and overstates NAV mark a credibility hit that undermines the inspirational narrative [4]. Community Impact (1/2): Funding 440+ venture-backed companies has supported job creation in tech and life sciences, but the impact is one step removed from end users. Employee Retention (2/2): Glassdoor rating of 3.9/5 with 75% of employees recommending the company is solid for a small (~130 employee) BDC, with positive comments about CEO accessibility and culture [3]. Insider Buying (0/2): The stock dropped ~8% on February 27, 2026 after the Hunterbrook report; no notable insider buying flagged to defend the valuation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Hercules trades around $14.74-$14.95 with a trailing P/E of ~7.5x and forward P/E of ~7.2x, reflecting BDC-typical low multiples [5]. The dividend is the primary attraction: $1.88 annualized base, ~13.3% yield with quarterly $0.40 base plus supplemental distributions [1]. TTM payout coverage at 84.2% is supported by current earnings, and 100% of Q4 2025 distributions were funded from current and accumulated E&amp;P [1]. As a BDC, leverage and the integrity of NAV marks are the key infrastructure questions — and these are now under active class-action scrutiny following allegations of misstated software book valuations [4]. The score reflects a profitable, dividend-covered BDC offset by serious open questions about NAV reliability and reputational risk. Liquidity easily clears the $1M floor on multi-million-share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Hercules has played a long game as the dominant venture-debt BDC for 22 years, with 19 consecutive years of paid distributions. However, the February 2026 Hunterbrook report alleging copy-paste sourcing and overstated marks, coupled with multiple law firm class actions, raises serious questions about whether management is playing for short-term NAV optics or long-term franchise value.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of 'empowering innovators' is workable but generic, and the credibility took a hit from Hunterbrook's allegation that Hercules copies Google Ventures' deals rather than sources independently [4]. A clearer just-cause articulation could help post-controversy.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3.9/5 with 75% recommend, positive feedback on CEO Scott Bluestein's accessibility, and a small (~130 employee) cohesive culture are positives [3]. Some criticism of the CEO and board persists, particularly amid the Hunterbrook fallout.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with Trinity Capital, Horizon Technology Finance, and an array of private credit funds (Silicon Valley Bank's wind-down created opportunity). The competitive set is moderate but expanding as more private credit chases venture lending.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Hercules has expanded from technology debt into life sciences and now AI-adjacent verticals, demonstrating some adaptability. However, the core BDC structure and venture-debt model have not materially evolved over 22 years.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Scott Bluestein has been at the helm since 2019 and has navigated the BDC through rate cycles, but the 2026 Hunterbrook short report and subsequent class actions allege a culture of overstated due diligence and aggressive marks — the opposite of courageous principled leadership [4]. Resolution of these allegations will be the test.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Hercules Capital is the largest publicly traded venture-debt BDC, having committed $8.2B+ to 440+ companies since 2003 with 19 consecutive years of paid distributions [1][3]. The headline attraction is income: $1.88 annualized base distribution yields ~13.3% at recent prices around $14.85, with TTM payout ratio of 84.2% covered by earnings and Q4 2025 distributions 100% funded from current/accumulated E&amp;P [1][5]. Trailing P/E of ~7.5x and forward P/E of ~7.2x compress the BDC at the lower end of its historical range, reflecting market scrutiny of NAV integrity and the dividend coverage cushion [5]. The franchise economics of senior-secured venture lending with equity-warrant kickers can produce attractive risk-adjusted returns when underwriting is rigorous, and demand from AI-native startups, life-sciences, and post-SVB venture borrowers remains structurally elevated.</w:t>
      </w:r>
    </w:p>
    <w:p>
      <w:pPr>
        <w:spacing w:after="120"/>
      </w:pPr>
      <w:r>
        <w:rPr>
          <w:rFonts w:ascii="Calibri" w:hAnsi="Calibri"/>
          <w:b w:val="0"/>
          <w:color w:val="3A4A28"/>
          <w:sz w:val="20"/>
        </w:rPr>
        <w:t>The bear case is concrete and acute. In late February 2026, Hunterbrook Media published 'The Myth of Hercules Capital,' alleging that (a) Hercules's deal sourcing process largely copies investments published on Google Ventures' website, (b) the company marks its software book at 100 cents on the dollar despite industry-wide software debt distress, and (c) certain portfolio investments are misclassified — collectively overstating NAV [4]. The stock dropped ~8% on February 27, 2026 and multiple law firms (Hagens Berman, Rosen, Schall, Holzer) have filed securities class actions covering purchases between May 1, 2025 and February 27, 2026 [4]. If valuation marks must be revised lower, NAV per share, dividend coverage, and the BDC's effective leverage all deteriorate. The 13.3% yield is a warning signal that the market sees elevated probability of a distribution cut or NAV write-down. With CEO Scott Bluestein and the board now under scrutiny, governance overhang will weigh on the multiple until the litigation is resolved or claims are credibly rebutted.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earnings on April 30, 2026 — NAV per share, NII, software-portfolio mark detail, and management's response to Hunterbrook allegations will be pivotal [5]</w:t>
      </w:r>
    </w:p>
    <w:p>
      <w:pPr>
        <w:spacing w:before="40" w:after="40"/>
        <w:ind w:left="283"/>
      </w:pPr>
      <w:r>
        <w:rPr>
          <w:rFonts w:ascii="Calibri" w:hAnsi="Calibri"/>
          <w:b/>
          <w:color w:val="4A6B25"/>
          <w:sz w:val="20"/>
        </w:rPr>
        <w:t xml:space="preserve">2. </w:t>
      </w:r>
      <w:r>
        <w:rPr>
          <w:rFonts w:ascii="Calibri" w:hAnsi="Calibri"/>
          <w:b w:val="0"/>
          <w:color w:val="3A4A28"/>
          <w:sz w:val="20"/>
        </w:rPr>
        <w:t>Maintenance of the $0.40 base quarterly distribution plus supplemental dividends, with payout ratio remaining below 90%, would partially restore investor confidence [1]</w:t>
      </w:r>
    </w:p>
    <w:p>
      <w:pPr>
        <w:spacing w:before="40" w:after="40"/>
        <w:ind w:left="283"/>
      </w:pPr>
      <w:r>
        <w:rPr>
          <w:rFonts w:ascii="Calibri" w:hAnsi="Calibri"/>
          <w:b/>
          <w:color w:val="4A6B25"/>
          <w:sz w:val="20"/>
        </w:rPr>
        <w:t xml:space="preserve">3. </w:t>
      </w:r>
      <w:r>
        <w:rPr>
          <w:rFonts w:ascii="Calibri" w:hAnsi="Calibri"/>
          <w:b w:val="0"/>
          <w:color w:val="3A4A28"/>
          <w:sz w:val="20"/>
        </w:rPr>
        <w:t>Resolution or dismissal of the multi-firm securities class actions filed in March-April 2026 covering the May 2025-February 2026 class period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Hunterbrook short report and securities class action alleging overstated portfolio valuations and misstated NAV — if proven, NAV per share and dividend coverage deteriorate [4]</w:t>
      </w:r>
    </w:p>
    <w:p>
      <w:pPr>
        <w:spacing w:before="40" w:after="40"/>
        <w:ind w:left="283"/>
      </w:pPr>
      <w:r>
        <w:rPr>
          <w:rFonts w:ascii="Calibri" w:hAnsi="Calibri"/>
          <w:b/>
          <w:color w:val="4A6B25"/>
          <w:sz w:val="20"/>
        </w:rPr>
        <w:t xml:space="preserve">2. </w:t>
      </w:r>
      <w:r>
        <w:rPr>
          <w:rFonts w:ascii="Calibri" w:hAnsi="Calibri"/>
          <w:b w:val="0"/>
          <w:color w:val="3A4A28"/>
          <w:sz w:val="20"/>
        </w:rPr>
        <w:t>Software-portfolio mark risk — Hercules allegedly carries software loans at 100 cents despite industry-wide distress, exposing future write-downs [4]</w:t>
      </w:r>
    </w:p>
    <w:p>
      <w:pPr>
        <w:spacing w:before="40" w:after="40"/>
        <w:ind w:left="283"/>
      </w:pPr>
      <w:r>
        <w:rPr>
          <w:rFonts w:ascii="Calibri" w:hAnsi="Calibri"/>
          <w:b/>
          <w:color w:val="4A6B25"/>
          <w:sz w:val="20"/>
        </w:rPr>
        <w:t xml:space="preserve">3. </w:t>
      </w:r>
      <w:r>
        <w:rPr>
          <w:rFonts w:ascii="Calibri" w:hAnsi="Calibri"/>
          <w:b w:val="0"/>
          <w:color w:val="3A4A28"/>
          <w:sz w:val="20"/>
        </w:rPr>
        <w:t>BDC structural risks — 13.3% yield signals market skepticism on dividend sustainability; rate cuts compress NII and amplify credit losses in stressed venture-backed portfolio companies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Venture lending is a relationship-driven business that AI has limited ability to disrupt directly — underwriting venture-backed startups requires human judgment about runway, founder quality, and milestones that AI cannot fully replicate. However, Hercules's portfolio is concentrated in tech and life sciences, sectors where AI is restructuring competitive moats; portfolio companies disrupted by AI could face credit deterioration that flows back into HTGC's NAV. The Hunterbrook allegations that Hercules marks software book at 100 cents despite industry distress reinforce this risk [4]. AI Opportunity (1/1): Demand for venture debt from AI-native startups (data center build-out, AI infrastructure, AI life-sciences applications) is a long-term origination tailwind that Hercules is positioned to capture.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Hercules Capital Distributions / Investor Relations — $1.88 annualized base distribution, $0.40 quarterly Q1 2026, 19 consecutive years paid,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Hercules Capital corporate website — $8.2B committed since 2003, 440+ companies, executive team and CEO Scott Bluestein bio</w:t>
      </w:r>
    </w:p>
    <w:p>
      <w:pPr>
        <w:spacing w:before="20" w:after="20"/>
        <w:ind w:left="170"/>
      </w:pPr>
      <w:r>
        <w:rPr>
          <w:rFonts w:ascii="Calibri" w:hAnsi="Calibri"/>
          <w:b/>
          <w:color w:val="4A6B25"/>
          <w:sz w:val="15"/>
        </w:rPr>
        <w:t xml:space="preserve">3. </w:t>
      </w:r>
      <w:r>
        <w:rPr>
          <w:rFonts w:ascii="Calibri" w:hAnsi="Calibri"/>
          <w:b w:val="0"/>
          <w:color w:val="3A4A28"/>
          <w:sz w:val="17"/>
        </w:rPr>
        <w:t>Glassdoor — Hercules Capital reviews, 3.9/5 overall, 75% recommend,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Hagens Berman / Rosen Law / Schall Law / PR Newswire — HTGC class action complaint following Hunterbrook 'Myth of Hercules Capital' report alleging copied deal sourcing, misstated marks, PIK loans, March-April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StockAnalysis.com / CNBC — HTGC stock price ~$14.85, P/E ~7.5x trailing / 7.2x forward,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