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HUM</w:t>
      </w:r>
      <w:r>
        <w:rPr>
          <w:rFonts w:ascii="Calibri" w:hAnsi="Calibri"/>
          <w:b/>
          <w:color w:val="1A2010"/>
          <w:sz w:val="40"/>
        </w:rPr>
        <w:t xml:space="preserve">  Humana Inc.</w:t>
      </w:r>
    </w:p>
    <w:p>
      <w:pPr>
        <w:spacing w:after="120"/>
      </w:pPr>
      <w:r>
        <w:rPr>
          <w:rFonts w:ascii="Calibri" w:hAnsi="Calibri"/>
          <w:b/>
          <w:color w:val="6E8450"/>
          <w:sz w:val="18"/>
        </w:rPr>
        <w:t>GROWTH SLEEVE · 2026-04-20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Humana Inc. provides medical and specialty insurance products in the United States through two segments: Insurance and CenterWell. The Insurance segment offers individual and group Medicare Advantage, Medicare stand-alone prescription drug, Medicare supplement, and specialty insurance products. The CenterWell segment operates value-based senior-focused primary care centers, home health services, pharmacy, and hospice solutions.</w:t>
      </w:r>
    </w:p>
    <w:p>
      <w:r>
        <w:rPr>
          <w:rFonts w:ascii="Calibri" w:hAnsi="Calibri"/>
          <w:b/>
          <w:color w:val="6E8450"/>
          <w:sz w:val="18"/>
        </w:rPr>
        <w:t>67,060 Employees · https://www.humana.com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Humana's CenterWell segment represents a meaningful strategic evolution from pure insurance to value-based care delivery, with senior-focused primary care centers, home health, and pharmacy under one integrated model. However, this build-out has been incremental over several years rather than a transformative pivot [1]. AI Deployment (1/2): CEO Jim Rechtin has deployed ambient listening technology to reduce physician administrative burden and rolled out 'Agent Assist' AI tools for brokers and sales agents, but no specific revenue or cost-savings figures have been quantified publicly [2]. Market Share (2/2): Humana is the second-largest Medicare Advantage insurer in the US, and FY2026 guidance projects 25% individual MA membership growth driven by improved retention and a customer-led benefit strategy — a significant share gain trajectory [1]. Product Pipeline (0/2): No specific next-generation products with named timelines have been announced beyond general benefit design improvements and CenterWell expansion. R&amp;D Intensity (1/1): Humana's investment in CenterWell infrastructure and technology platforms, including the rapid-prototyping consumer portal using 30-day iterative cycles, exceeds typical managed care peers' technology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Humana's mission is to help people achieve their best health through simplified healthcare experiences. This is clear and identifies a meaningful purpose, but it is fairly standard for a managed care organization and not distinctively inspiring or validated by decades of cause-driven strategic decisions. Community Impact (1/2): Humana's Bold Goal initiative targets 20% improvement in healthy days for the communities it serves, and the company spent $357 million with diverse suppliers in 2023 [3]. The Humana Foundation supports social determinants of health initiatives, but specific dollar amounts for total charitable giving are not prominently disclosed. Employee Retention (1/2): CEO Rechtin has acknowledged internal 'cultural biases' and is driving a culture change initiative, suggesting the organization is not yet where it needs to be on trust and retention [2]. The leadership transition from Bruce Broussard to Rechtin was orderly. No specific turnover or tenure data available. Insider Buying (1/2): Insider activity is roughly balanced with no notable net buying spree by the CEO or executive team in the past 12 months, though equity compensation aligns executive interests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Humana's infrastructure scores well on the mechanical calculation despite razor-thin profit margins typical of managed care. D/E of 74.8% is slightly above the 70% target but well below the 300% floor [4]. ROE of 7.0% is below the 15% target, reflecting the compressed earnings environment from Star Ratings headwinds [1]. Revenue growth of 11.3% YoY exceeds the 10% target, driven by MA membership expansion, with 5-year CAGR estimated at ~9.4% [4]. Forward P/E of 13.5x is attractive and well below the 20 target, pricing in significant pessimism after 2026 guidance disappointed at $9.00 adjusted EPS vs. $12.00 consensus [1]. Profit margin of 0.9% is extremely thin, typical for managed care but scoring near zero on this metric. PEG ratio of 1.2 is reasonable. Liquidity floor cleared: 2.2M avg volume × $205.14 = $453M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Humana demonstrates mixed infinite game characteristics under new CEO Jim Rechtin, who openly acknowledges the company 'is not where we want to be' and is driving a culture transformation focused on customer-led design. The CenterWell build-out reflects genuine long-term vision in value-based care, but the company is navigating significant near-term Star Ratings headwinds and an incomplete cultural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Humana's purpose of helping people achieve their best health is genuine and connects to a meaningful outcome, particularly for the senior population it predominantly serves. The CenterWell segment — integrating primary care, home health, pharmacy, and hospice for seniors — demonstrates strategic alignment with this purpose beyond pure insurance administration [1]. However, the cause has not been tested through decades of consistent execution under a single vision, and the current leadership transition introduces uncertainty about how deeply the cause drives strategic decisions versus quarterly MA membership targets.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Rechtin has publicly acknowledged cultural weaknesses and is investing in transformation — the 30-day rapid prototyping cycles for consumer portals and customer-led benefit design reflect genuine organizational change [2]. However, Rechtin's own statement that Humana 'is not where we want to be' signals that trust and empowerment are works-in-progress. The leadership transition from Broussard was orderly, and the company employs 67,000 people with reasonable stability, but no exceptional trust indicators are evident.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Humana competes against UnitedHealth Group and CVS/Aetna without framing competition in zero-sum terms. The CenterWell strategy explicitly acknowledges that UNH's Optum has strengths in integrated care delivery that Humana needs to match and differentiate from, and management commentary focuses on improving Humana's own customer experience rather than defeating rivals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build-out of CenterWell from a pure insurance company to an integrated care delivery organization represents meaningful strategic evolution — Humana has invested billions in primary care centers, home health, and pharmacy to create a value-based care flywheel [1]. This is an incremental but significant transformation of the business model, moving from payer to payer-provider. However, it has not required abandoning a profitable core business and is more evolutionary than existential.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Rechtin's willingness to publicly acknowledge cultural problems and commit to transformation demonstrates some courage, as does maintaining CenterWell investment despite the Star Ratings earnings headwind that compressed 2026 guidance to $9.00 EPS vs. $12.00 consensus [1][2]. The company guided for 25% MA membership growth in FY2026, prioritizing long-term scale over short-term margin protection. However, the culture change is early-stage and unproven.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Humana trades at a compelling 13.5x forward P/E — a significant discount to managed care peers — after 2026 guidance of $9.00 adjusted EPS disappointed versus $12.00 consensus, primarily due to Star Ratings headwinds for Bonus Year 2026 [1]. The bull case rests on three pillars: 25% projected individual MA membership growth in FY2026 driven by customer-led benefit design and improved retention [1]; CenterWell's integrated value-based care platform creating a structural cost advantage as the payer-provider model matures [1]; and CEO Rechtin's culture transformation initiative to improve customer experience and operational agility [2]. Revenue of $129.7B in FY2025 grew 11.3% YoY, and the MA membership growth trajectory positions Humana for revenue acceleration even as margins remain compressed by the Star Ratings cycle [4].</w:t>
      </w:r>
    </w:p>
    <w:p>
      <w:pPr>
        <w:spacing w:after="120"/>
      </w:pPr>
      <w:r>
        <w:rPr>
          <w:rFonts w:ascii="Calibri" w:hAnsi="Calibri"/>
          <w:b w:val="0"/>
          <w:color w:val="3A4A28"/>
          <w:sz w:val="20"/>
        </w:rPr>
        <w:t>The bear case is substantial. Humana's 0.9% profit margin is among the thinnest in the S&amp;P 500, and the Star Ratings headwind creates a structural earnings gap that may persist through 2027 [1]. ROE of 7% is well below the 15% target, reflecting that Humana is not earning adequate returns on equity during this transition. The Q4 2025 loss of $796M underscores the volatility of the Medicare Advantage model when medical cost trends exceed pricing assumptions [1]. CMS rate-setting remains a political variable — flat 2027 MA rates, as the CEO himself flagged, would force further benefit cuts or margin compression [1]. The culture transformation under Rechtin is acknowledged as early-stage and incomplete [2]. Free cash flow of $1.3B is modest relative to the $24.7B market cap, and the dividend yield of 1.7% provides limited downside protection. Execution risk is high as Humana simultaneously pursues aggressive membership growth, CenterWell expansion, and organizational culture change against an adverse regulatory backdrop.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25% projected individual Medicare Advantage membership growth in FY2026 driven by customer-led benefit design and improved retention, positioning for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CenterWell integrated value-based care platform maturing as a structural cost advantage — primary care, home health, pharmacy, and hospice under one payer-provider model [1]</w:t>
      </w:r>
    </w:p>
    <w:p>
      <w:pPr>
        <w:spacing w:before="40" w:after="40"/>
        <w:ind w:left="283"/>
      </w:pPr>
      <w:r>
        <w:rPr>
          <w:rFonts w:ascii="Calibri" w:hAnsi="Calibri"/>
          <w:b/>
          <w:color w:val="4A6B25"/>
          <w:sz w:val="20"/>
        </w:rPr>
        <w:t xml:space="preserve">3. </w:t>
      </w:r>
      <w:r>
        <w:rPr>
          <w:rFonts w:ascii="Calibri" w:hAnsi="Calibri"/>
          <w:b w:val="0"/>
          <w:color w:val="3A4A28"/>
          <w:sz w:val="20"/>
        </w:rPr>
        <w:t>CEO Rechtin's culture and technology transformation, including AI-powered Agent Assist tools and ambient listening technology for physician productivity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Star Ratings headwind for Bonus Year 2026 compresses adjusted EPS guidance to $9.00 vs. $12.00 consensus, with potential persistence into 2027 if CMS rates remain flat [1]</w:t>
      </w:r>
    </w:p>
    <w:p>
      <w:pPr>
        <w:spacing w:before="40" w:after="40"/>
        <w:ind w:left="283"/>
      </w:pPr>
      <w:r>
        <w:rPr>
          <w:rFonts w:ascii="Calibri" w:hAnsi="Calibri"/>
          <w:b/>
          <w:color w:val="4A6B25"/>
          <w:sz w:val="20"/>
        </w:rPr>
        <w:t xml:space="preserve">2. </w:t>
      </w:r>
      <w:r>
        <w:rPr>
          <w:rFonts w:ascii="Calibri" w:hAnsi="Calibri"/>
          <w:b w:val="0"/>
          <w:color w:val="3A4A28"/>
          <w:sz w:val="20"/>
        </w:rPr>
        <w:t>Ultra-thin 0.9% profit margin and Q4 2025 $796M loss highlight extreme sensitivity to medical cost trends exceeding pricing assumptions in the Medicare Advantage model [1]</w:t>
      </w:r>
    </w:p>
    <w:p>
      <w:pPr>
        <w:spacing w:before="40" w:after="40"/>
        <w:ind w:left="283"/>
      </w:pPr>
      <w:r>
        <w:rPr>
          <w:rFonts w:ascii="Calibri" w:hAnsi="Calibri"/>
          <w:b/>
          <w:color w:val="4A6B25"/>
          <w:sz w:val="20"/>
        </w:rPr>
        <w:t xml:space="preserve">3. </w:t>
      </w:r>
      <w:r>
        <w:rPr>
          <w:rFonts w:ascii="Calibri" w:hAnsi="Calibri"/>
          <w:b w:val="0"/>
          <w:color w:val="3A4A28"/>
          <w:sz w:val="20"/>
        </w:rPr>
        <w:t>Early-stage culture transformation under new CEO Rechtin — acknowledged as incomplete — creates execution risk while simultaneously pursuing aggressive membership growth and CenterWell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Humana's core business — Medicare Advantage insurance and value-based care delivery — involves deeply regulated processes, complex provider network management, and physical-world healthcare delivery that AI cannot easily displace [1]. CenterWell's primary care centers, home health, and hospice require in-person clinicians. However, AI-driven claims processing, prior authorization automation, and care management tools from competitors and regulators could compress administrative margins and disintermediate some of Humana's coordination functions. CMS is increasingly mandating automated prior authorization, which reduces a historical friction advantage for large payers. AI Opportunity (1/1): Humana generates AI-related value through its ambient listening technology deployment for physicians and Agent Assist tools for brokers, both of which drive measurable operational efficiency in customer acquisition and provider satisfaction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Humana Q4 2025 Earnings Release and FY2026 Guidance — $129.7B revenue, 11.3% YoY growth, $9.00 adjusted EPS guidance, 25% MA membership growth projection,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 'Humana CEO is betting on culture change and AI to fuel a turnaround,' CEO Jim Rechtin interview on Agent Assist, ambient listening technology, and 30-day rapid prototyping cycles, November 2025</w:t>
      </w:r>
    </w:p>
    <w:p>
      <w:pPr>
        <w:spacing w:before="20" w:after="20"/>
        <w:ind w:left="170"/>
      </w:pPr>
      <w:r>
        <w:rPr>
          <w:rFonts w:ascii="Calibri" w:hAnsi="Calibri"/>
          <w:b/>
          <w:color w:val="4A6B25"/>
          <w:sz w:val="15"/>
        </w:rPr>
        <w:t xml:space="preserve">3. </w:t>
      </w:r>
      <w:r>
        <w:rPr>
          <w:rFonts w:ascii="Calibri" w:hAnsi="Calibri"/>
          <w:b w:val="0"/>
          <w:color w:val="3A4A28"/>
          <w:sz w:val="17"/>
        </w:rPr>
        <w:t>Humana ESG Impact Report — Bold Goal initiative, $357M diverse supplier spend, SBTi-validated emission reduction targets (54.6% by 2032),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HUM (Humana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