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HUN</w:t>
      </w:r>
      <w:r>
        <w:rPr>
          <w:rFonts w:ascii="Calibri" w:hAnsi="Calibri"/>
          <w:b/>
          <w:color w:val="1A2010"/>
          <w:sz w:val="40"/>
        </w:rPr>
        <w:t xml:space="preserve">  Huntsman Corporation</w:t>
      </w:r>
    </w:p>
    <w:p>
      <w:pPr>
        <w:spacing w:after="120"/>
      </w:pPr>
      <w:r>
        <w:rPr>
          <w:rFonts w:ascii="Calibri" w:hAnsi="Calibri"/>
          <w:b/>
          <w:color w:val="6E8450"/>
          <w:sz w:val="18"/>
        </w:rPr>
        <w:t>DIVIDEND SLEEVE · 2026-03-28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Chemicals · NYSE · United States</w:t>
      </w:r>
    </w:p>
    <w:p>
      <w:pPr>
        <w:spacing w:after="80"/>
      </w:pPr>
      <w:r>
        <w:rPr>
          <w:rFonts w:ascii="Calibri" w:hAnsi="Calibri"/>
          <w:b w:val="0"/>
          <w:color w:val="3A4A28"/>
          <w:sz w:val="20"/>
        </w:rPr>
        <w:t>Huntsman Corporation is a global manufacturer of differentiated and specialty chemicals operating through three segments: Polyurethanes, Performance Products, and Advanced Materials. The company produces MDI, polyols, amines, epoxies, and other specialty chemicals used in construction, automotive, aerospace, electronics, and consumer products, operating 55+ facilities across 25 countries.</w:t>
      </w:r>
    </w:p>
    <w:p>
      <w:r>
        <w:rPr>
          <w:rFonts w:ascii="Calibri" w:hAnsi="Calibri"/>
          <w:b/>
          <w:color w:val="6E8450"/>
          <w:sz w:val="18"/>
        </w:rPr>
        <w:t>6,000 Employees · https://www.huntsman.com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Huntsman has not launched meaningful new products or executed transformative pivots in the past 5 years. The business model looks essentially the same as 2021, with the same three segments producing the same chemical products into the same cyclically depressed end markets [1]. Revenue has declined from $7.67B in 2021 to $5.78B TTM. AI Deployment (0/2): No evidence of AI-powered products shipping to customers or quantified AI-driven cost savings. Huntsman's technology efforts focus on traditional chemical R&amp;D rather than AI deployment [2]. Market Share (1/2): Huntsman is a meaningful player in MDI/polyurethanes and specialty amines but is not a category leader — competitors like BASF, Covestro, and Dow are significantly larger in core segments. Pipeline (1/2): The new innovation center in Tienen, Belgium (11,000 sqm, opened June 2024) and the Technology Portal for external collaboration show R&amp;D investment, but no specific next-gen products with revenue visibility have been announced [2]. R&amp;D Intensity (1/1): Huntsman maintains dedicated R&amp;D facilities and launched a cross-divisional Technology Portal for innovation partnerships, suggesting above-average R&amp;D focus for a specialty chemicals company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Huntsman's corporate messaging focuses on 'enriching lives through innovation' — generic and interchangeable with any chemicals company. No distinctive purpose beyond manufacturing chemicals profitably. Community Impact (1/2): Huntsman has general corporate philanthropy programs and is a UN Global Compact signatory since 2011, but no distinctive charitable initiatives with specific dollar amounts or measurable community impact were found [3]. Employee Retention (0/2): Glassdoor rating of 3.5/5 with only 59% recommending the company and just 33% with a positive business outlook [2]. Reviews flag 'horrible company and poor management' and 'top heavy management, low salary.' The 10% global workforce reduction in Q2 2025 further undermines retention [2]. Insider Buying (1/2): Peter Huntsman's long tenure as Chairman/CEO since 2007 shows personal commitment, and family ownership alignment, though no specific recent insider buying data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Huntsman's infrastructure score reflects deep cyclical distress across nearly every metric. D/E of 81.2% is near target, the only bright spot [5]. ROE is -7.1% (negative, scores 0) due to net losses [5]. Revenue growth is -6.7% YoY with a 5yr CAGR of approximately -6.8%, both below their respective floors [1]. Forward P/E of 83.6x exceeds the 60x floor, scoring 0 — reflecting minimal near-term earnings expectations (forward EPS $0.15) [5]. Profit margin of -5.0% is negative, scoring 0 [5]. Payout ratio of 180% exceeds the 100% floor after the dividend was slashed from $0.25/quarter to $0.088/quarter in Q4 2025 [5]. Consecutive years paid = 15+ (strong) but consecutive growth years = 0 after the cut. 5yr dividend growth CAGR is deeply negative (-14%) as current annualized rate ($0.35) is well below 2021 levels ($0.75) [5]. Liquidity floor cleared: 6.6M avg vol × $12.66 = $84M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Huntsman operates with a largely finite mindset, focused on surviving the current chemical industry downcycle through cost-cutting, workforce reductions, and dividend cuts rather than investing in long-term transformation. The family-controlled governance structure provides some continuity but also concentrates decision-making.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Huntsman's purpose statement about 'enriching lives through innovation' is generic and not validated by strategic decisions — the company's recent actions (10% workforce reduction, dividend cuts, defensive cost-cutting) are about survival, not advancing a cause [1][2]. No evidence that employees or customers are inspired by a deeper mission. Scoring 1 point (cause exists but is shallow).</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10% global workforce reduction in Q2 2025, Comparably's C- culture rating, and the executive team's D- rating (bottom 10% of similar companies) paint a picture of a low-trust environment [2]. Glassdoor reviews citing 'horrible company and poor management' and only 33% positive business outlook suggest fear and disengagement. Layoffs of this magnitude destroy psychological safety. Scoring 0 points (low-trust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Huntsman's competitive language is not available in recent earnings calls or press releases, and the company's focus is inward on cost restructuring rather than learning from competitors like BASF or Dow. Scoring 0 points.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Huntsman has not fundamentally reinvented itself. The company sold its Textile Effects division in 2006 and Titanium Dioxide business in 2019, but these were divestitures of non-core assets rather than transformative pivots driven by a Just Cause [1]. The remaining three segments are the same business Huntsman has operated for decades. Scoring 0 points (rigid).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leadership making costly long-term bets. Recent decisions — cutting the dividend by 65%, reducing the workforce by 10%, and guiding Q1 2026 EBITDA of just $25-40M — reflect defensive survival actions optimized for near-term cash preservation rather than courageous long-term investment [1]. The Tienen innovation center is a modest positive but insufficient against the backdrop of austerity. Scoring 0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Huntsman trades at $12.66 with a market cap of $2.2B on a deeply depressed earnings base — full-year 2025 adjusted EBITDA was just $146M (4% margin) on $3.7B in revenue [1]. The value case rests on cyclical recovery: D/E of 81% and continued dividend payments (even at reduced $0.088/quarter) suggest the balance sheet can survive the trough, and a normalization of polyurethanes demand could drive significant earnings leverage given the fixed-cost operating structure. The Tienen innovation center and Technology Portal investments position Huntsman for eventual product-led recovery [2].</w:t>
      </w:r>
    </w:p>
    <w:p>
      <w:pPr>
        <w:spacing w:after="120"/>
      </w:pPr>
      <w:r>
        <w:rPr>
          <w:rFonts w:ascii="Calibri" w:hAnsi="Calibri"/>
          <w:b w:val="0"/>
          <w:color w:val="3A4A28"/>
          <w:sz w:val="20"/>
        </w:rPr>
        <w:t>The bear case is severe: Huntsman reported a $96M net loss in Q4 2025 with adjusted EBITDA of just $35M, and Q1 2026 guidance of $25-40M EBITDA signals no recovery in sight [1]. Revenue has declined from $8.0B in 2022 to $5.78B TTM, a 28% contraction. The dividend was slashed 65% to $0.088/quarter in Q4 2025, and the payout ratio of 180% suggests even the reduced dividend may not be sustainable from earnings. Forward P/E of 83.6x reflects analyst estimates of just $0.15 EPS for 2026, with the highest estimate at only $0.26 [1]. The 10% workforce reduction signals structural cost problems beyond cyclical weakness. Management acknowledged 'meaningful changes may not occur in the immediate term,' offering no catalyst for recovery [1]. The Comparably D- executive team rating and 33% positive employee business outlook suggest internal confidence is collapsing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Chemical industry cyclical recovery — polyurethanes and MDI demand tied to construction, automotive, and consumer spending could normalize as interest rate cuts stimulate end markets [1]</w:t>
      </w:r>
    </w:p>
    <w:p>
      <w:pPr>
        <w:spacing w:before="40" w:after="40"/>
        <w:ind w:left="283"/>
      </w:pPr>
      <w:r>
        <w:rPr>
          <w:rFonts w:ascii="Calibri" w:hAnsi="Calibri"/>
          <w:b/>
          <w:color w:val="4A6B25"/>
          <w:sz w:val="20"/>
        </w:rPr>
        <w:t xml:space="preserve">2. </w:t>
      </w:r>
      <w:r>
        <w:rPr>
          <w:rFonts w:ascii="Calibri" w:hAnsi="Calibri"/>
          <w:b w:val="0"/>
          <w:color w:val="3A4A28"/>
          <w:sz w:val="20"/>
        </w:rPr>
        <w:t>Cost restructuring benefits from the 10% workforce reduction and operational efficiencies flowing through to margins, potentially improving EBITDA even without revenue growth [1]</w:t>
      </w:r>
    </w:p>
    <w:p>
      <w:pPr>
        <w:spacing w:before="40" w:after="40"/>
        <w:ind w:left="283"/>
      </w:pPr>
      <w:r>
        <w:rPr>
          <w:rFonts w:ascii="Calibri" w:hAnsi="Calibri"/>
          <w:b/>
          <w:color w:val="4A6B25"/>
          <w:sz w:val="20"/>
        </w:rPr>
        <w:t xml:space="preserve">3. </w:t>
      </w:r>
      <w:r>
        <w:rPr>
          <w:rFonts w:ascii="Calibri" w:hAnsi="Calibri"/>
          <w:b w:val="0"/>
          <w:color w:val="3A4A28"/>
          <w:sz w:val="20"/>
        </w:rPr>
        <w:t>Innovation center in Tienen, Belgium driving new specialty product development and higher-margin formulations in advanced materials and performance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chemical industry downcycle — management guidance of $25-40M Q1 EBITDA with 'no meaningful near-term improvement' suggests the trough could extend through 2026, exhausting the balance sheet and forcing further dividend cuts or debt restructuring [1]</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 payout ratio of 180% on negative EPS means the reduced $0.088/quarter dividend is funded from cash reserves rather than earnings, creating a ticking clock on income payments [5]</w:t>
      </w:r>
    </w:p>
    <w:p>
      <w:pPr>
        <w:spacing w:before="40" w:after="40"/>
        <w:ind w:left="283"/>
      </w:pPr>
      <w:r>
        <w:rPr>
          <w:rFonts w:ascii="Calibri" w:hAnsi="Calibri"/>
          <w:b/>
          <w:color w:val="4A6B25"/>
          <w:sz w:val="20"/>
        </w:rPr>
        <w:t xml:space="preserve">3. </w:t>
      </w:r>
      <w:r>
        <w:rPr>
          <w:rFonts w:ascii="Calibri" w:hAnsi="Calibri"/>
          <w:b w:val="0"/>
          <w:color w:val="3A4A28"/>
          <w:sz w:val="20"/>
        </w:rPr>
        <w:t>Structural demand decline — secular shifts away from traditional polyurethanes in construction (energy efficiency regulations favoring alternatives) and automotive (EV lightweighting preferences) could impair the cyclical recovery potential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Huntsman's business is fundamentally physical — manufacturing specialty chemicals requires capital-intensive facilities, deep process expertise, regulatory approvals, and complex global supply chains that AI cannot replicate [2]. Chemical manufacturing involves physical-world operations with tight safety and environmental regulations that create structural barriers to disruption. Customers need specific chemical formulations, not information or digital services. However, AI could potentially optimize chemical R&amp;D processes and accelerate competitor product development, creating moderate indirect pressure. AI Opportunity (0/1): No evidence of AI-generated revenue. Huntsman has not deployed AI products to customers or reported quantified AI-driven operational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Huntsman Corporation Q4 2025 Earnings Release — $1.355B quarterly revenue, -$96M net loss, $35M adjusted EBITDA, Q1 2026 guidance $25-40M, February 17, 2026</w:t>
      </w:r>
    </w:p>
    <w:p>
      <w:pPr>
        <w:spacing w:before="20" w:after="20"/>
        <w:ind w:left="170"/>
      </w:pPr>
      <w:r>
        <w:rPr>
          <w:rFonts w:ascii="Calibri" w:hAnsi="Calibri"/>
          <w:b/>
          <w:color w:val="4A6B25"/>
          <w:sz w:val="15"/>
        </w:rPr>
        <w:t xml:space="preserve">2. </w:t>
      </w:r>
      <w:r>
        <w:rPr>
          <w:rFonts w:ascii="Calibri" w:hAnsi="Calibri"/>
          <w:b w:val="0"/>
          <w:color w:val="3A4A28"/>
          <w:sz w:val="17"/>
        </w:rPr>
        <w:t>Glassdoor/Comparably — Huntsman Corp reviews (828 reviews, 3.5/5), D- executive team rating, C- culture rating; Huntsman Technology Portal and Tienen innovation center, 2023-2024</w:t>
      </w:r>
    </w:p>
    <w:p>
      <w:pPr>
        <w:spacing w:before="20" w:after="20"/>
        <w:ind w:left="170"/>
      </w:pPr>
      <w:r>
        <w:rPr>
          <w:rFonts w:ascii="Calibri" w:hAnsi="Calibri"/>
          <w:b/>
          <w:color w:val="4A6B25"/>
          <w:sz w:val="15"/>
        </w:rPr>
        <w:t xml:space="preserve">3. </w:t>
      </w:r>
      <w:r>
        <w:rPr>
          <w:rFonts w:ascii="Calibri" w:hAnsi="Calibri"/>
          <w:b w:val="0"/>
          <w:color w:val="3A4A28"/>
          <w:sz w:val="17"/>
        </w:rPr>
        <w:t>Huntsman Sustainability Report 2023 — UN Global Compact signatory, CDP B score, Responsible Care program; Yahoo Finance ESG data</w:t>
      </w:r>
    </w:p>
    <w:p>
      <w:pPr>
        <w:spacing w:before="20" w:after="20"/>
        <w:ind w:left="170"/>
      </w:pPr>
      <w:r>
        <w:rPr>
          <w:rFonts w:ascii="Calibri" w:hAnsi="Calibri"/>
          <w:b/>
          <w:color w:val="4A6B25"/>
          <w:sz w:val="15"/>
        </w:rPr>
        <w:t xml:space="preserve">4. </w:t>
      </w:r>
      <w:r>
        <w:rPr>
          <w:rFonts w:ascii="Calibri" w:hAnsi="Calibri"/>
          <w:b w:val="0"/>
          <w:color w:val="3A4A28"/>
          <w:sz w:val="17"/>
        </w:rPr>
        <w:t>Huntsman investor relations — revenue history 2021-2025, analyst EPS estimates for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HUN (Huntsman Corporation),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