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HXHX</w:t>
      </w:r>
      <w:r>
        <w:rPr>
          <w:rFonts w:ascii="Calibri" w:hAnsi="Calibri"/>
          <w:b/>
          <w:color w:val="1A2010"/>
          <w:sz w:val="40"/>
        </w:rPr>
        <w:t xml:space="preserve">  Haoxin Holdings Limited</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China</w:t>
      </w:r>
    </w:p>
    <w:p>
      <w:pPr>
        <w:spacing w:after="80"/>
      </w:pPr>
      <w:r>
        <w:rPr>
          <w:rFonts w:ascii="Calibri" w:hAnsi="Calibri"/>
          <w:b w:val="0"/>
          <w:color w:val="3A4A28"/>
          <w:sz w:val="20"/>
        </w:rPr>
        <w:t>Haoxin Holdings Limited provides temperature-controlled truckload and urban delivery services in China, operating 82 tractors, 87 trailers, and 44 vans for cold chain logistics. Founded in 2003 and based in Ningbo, the company IPO'd on Nasdaq in April 2025 at $4.00/share.</w:t>
      </w:r>
    </w:p>
    <w:p>
      <w:r>
        <w:rPr>
          <w:rFonts w:ascii="Calibri" w:hAnsi="Calibri"/>
          <w:b/>
          <w:color w:val="6E8450"/>
          <w:sz w:val="18"/>
        </w:rPr>
        <w:t>200 Employees · https://ir.haoxinholdings.com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Haoxin has operated cold chain logistics since 2003 with no meaningful product launches, pivots, or business model transformations in the last 5 years — the fleet remains small at 82 tractors and 87 trailers [1]. AI Deployment (0/2): No AI-powered products or measurable AI-driven efficiency gains reported in any filings or press releases [2]. Market Share (1/2): The company is a niche participant in China's fragmented cold chain logistics market with no evidence of category leadership or share gains [1]. Pipeline (0/2): No next-generation products or services announced; the Nasdaq IPO in April 2025 was focused on capital raise rather than growth pipeline [3]. R&amp;D Intensity (1/1): Cold chain logistics requires operational investment in temperature-controlled equipment, and Haoxin has invested in fleet expansion, though formal R&amp;D spend data is unavailable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Haoxin's website describes its business as providing logistics services with no articulated mission, vision, or purpose beyond commercial operations — generic boilerplate at best [2]. Community Impact (0/2): No evidence of charitable programs, community investment, or foundation activity found in any public filings or materials [3]. Employee Retention (0/2): No employee retention data available; no Glassdoor reviews exist for Haoxin Holdings specifically [2]. Insider Buying (1/2): As a recently IPO'd company, insider ownership is high by default, but no evidence of meaningful open-market insider purchases post-IPO was found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1,547,887 shares × $0.39 stock price = $603,676, which falls below the $1,000,000 liquidity minimum [4]. Infrastructure score is automatically set to 0 regardless of underlying metrics. The stock is facing Nasdaq delisting risk after failing to maintain a $1.00 minimum bid price for 31 consecutive days, with a compliance deadline of June 15, 2026 [5]. Underlying metrics show D/E of 21.5% (healthy), ROE of 18.0%, and profit margin of 10.9%, but the micro-cap status ($5.4M market cap) and potential delisting make the stock untradeable for IOWN purposes.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Haoxin Holdings shows hallmarks of finite game thinking — the Nasdaq IPO appears primarily motivated by capital raise rather than advancing a compelling Just Cause. The company faces an existential compliance crisis with potential delisting, and there is no evidence of long-term strategic vision beyond maintaining current cold chain operations in a commoditized Chinese logistics market.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Just Cause evident. Haoxin exists to provide cold chain logistics services for profit with no articulated vision of a better future or purpose beyond commercial operations [2]. The IPO prospectus focuses entirely on operational expansion rather than any broader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information available on organizational culture, employee empowerment, or team trust at Haoxin Holdings [2]. The company is too small and opaque for meaningful cultural assessment, though the absence of any Glassdoor reviews or public culture commentary is itself a data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Haoxin operates in China's highly fragmented cold chain market against much larger competitors (SF Cold Chain, JD Logistics) without any articulated strategy for learning from or responding to rival strengths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strategic flexibility. Haoxin has evolved from general logistics to cold chain specialization since 2013, which shows some adaptation, but the core business model of operating refrigerated trucks has not fundamentally changed [1]. No transformative pivots evident.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courageous long-term investment decisions. The company's primary strategic action — the Nasdaq IPO at $4.00/share that has since declined 90% — raises questions about capital allocation discipline [3]. The Nasdaq non-compliance situation suggests leadership may need to execute a reverse stock split rather than address underlying business fundamentals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Haoxin Holdings operates in the structurally growing Chinese cold chain logistics market, which benefits from rising consumer demand for fresh food and temperature-sensitive goods. The company's TTM revenue of approximately $25.6M with 10.9% profit margins and 18.0% ROE demonstrates operational viability, and the low D/E of 21.5% indicates a conservatively financed balance sheet [1]. The recent quarterly revenue jump from $9.3M to $16.3M suggests improving business trends [1].</w:t>
      </w:r>
    </w:p>
    <w:p>
      <w:pPr>
        <w:spacing w:after="120"/>
      </w:pPr>
      <w:r>
        <w:rPr>
          <w:rFonts w:ascii="Calibri" w:hAnsi="Calibri"/>
          <w:b w:val="0"/>
          <w:color w:val="3A4A28"/>
          <w:sz w:val="20"/>
        </w:rPr>
        <w:t>The bear case is overwhelming. At $0.39 per share (down 90% from the $4.00 IPO price), Haoxin faces Nasdaq delisting risk with a June 15, 2026 compliance deadline [5]. The $5.4M market cap and sub-$1M daily dollar volume make the stock effectively untradeable for institutional investors. The company operates a small fleet of 82 tractors in China's hyper-competitive logistics market against well-funded competitors like JD Logistics and SF Express. The Cayman Islands holding company structure adds VIE risk for US investors. No analyst coverage, no AI strategy, no competitive moat, and potential delisting make this a SELL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reverse stock split to regain Nasdaq compliance before the June 15, 2026 deadline, though this does not address underlying business fundamentals [5]</w:t>
      </w:r>
    </w:p>
    <w:p>
      <w:pPr>
        <w:spacing w:before="40" w:after="40"/>
        <w:ind w:left="283"/>
      </w:pPr>
      <w:r>
        <w:rPr>
          <w:rFonts w:ascii="Calibri" w:hAnsi="Calibri"/>
          <w:b/>
          <w:color w:val="4A6B25"/>
          <w:sz w:val="20"/>
        </w:rPr>
        <w:t xml:space="preserve">2. </w:t>
      </w:r>
      <w:r>
        <w:rPr>
          <w:rFonts w:ascii="Calibri" w:hAnsi="Calibri"/>
          <w:b w:val="0"/>
          <w:color w:val="3A4A28"/>
          <w:sz w:val="20"/>
        </w:rPr>
        <w:t>Continued growth in China's cold chain logistics market driven by rising e-commerce food delivery and pharmaceutical cold chain demand [1]</w:t>
      </w:r>
    </w:p>
    <w:p>
      <w:pPr>
        <w:spacing w:before="40" w:after="40"/>
        <w:ind w:left="283"/>
      </w:pPr>
      <w:r>
        <w:rPr>
          <w:rFonts w:ascii="Calibri" w:hAnsi="Calibri"/>
          <w:b/>
          <w:color w:val="4A6B25"/>
          <w:sz w:val="20"/>
        </w:rPr>
        <w:t xml:space="preserve">3. </w:t>
      </w:r>
      <w:r>
        <w:rPr>
          <w:rFonts w:ascii="Calibri" w:hAnsi="Calibri"/>
          <w:b w:val="0"/>
          <w:color w:val="3A4A28"/>
          <w:sz w:val="20"/>
        </w:rPr>
        <w:t>Quarterly revenue improvement from $9.3M to $16.3M suggests possible business acceleration that could improve fundamentals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risk — stock has traded below $1.00 for 31+ consecutive days with compliance deadline of June 15, 2026; delisting would severely impair liquidity and shareholder value [5]</w:t>
      </w:r>
    </w:p>
    <w:p>
      <w:pPr>
        <w:spacing w:before="40" w:after="40"/>
        <w:ind w:left="283"/>
      </w:pPr>
      <w:r>
        <w:rPr>
          <w:rFonts w:ascii="Calibri" w:hAnsi="Calibri"/>
          <w:b/>
          <w:color w:val="4A6B25"/>
          <w:sz w:val="20"/>
        </w:rPr>
        <w:t xml:space="preserve">2. </w:t>
      </w:r>
      <w:r>
        <w:rPr>
          <w:rFonts w:ascii="Calibri" w:hAnsi="Calibri"/>
          <w:b w:val="0"/>
          <w:color w:val="3A4A28"/>
          <w:sz w:val="20"/>
        </w:rPr>
        <w:t>Micro-cap illiquidity — $5.4M market cap and sub-$1M daily dollar volume make the stock untradeable for IOWN's purposes and create significant execution risk [4]</w:t>
      </w:r>
    </w:p>
    <w:p>
      <w:pPr>
        <w:spacing w:before="40" w:after="40"/>
        <w:ind w:left="283"/>
      </w:pPr>
      <w:r>
        <w:rPr>
          <w:rFonts w:ascii="Calibri" w:hAnsi="Calibri"/>
          <w:b/>
          <w:color w:val="4A6B25"/>
          <w:sz w:val="20"/>
        </w:rPr>
        <w:t xml:space="preserve">3. </w:t>
      </w:r>
      <w:r>
        <w:rPr>
          <w:rFonts w:ascii="Calibri" w:hAnsi="Calibri"/>
          <w:b w:val="0"/>
          <w:color w:val="3A4A28"/>
          <w:sz w:val="20"/>
        </w:rPr>
        <w:t>Competitive obsolescence — 82-truck fleet faces existential pressure from AI-optimized, well-capitalized competitors (JD Logistics, SF Express) with 100x+ Haoxin's scale in China's cold chain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Haoxin's core business — temperature-controlled trucking and urban cold chain delivery — is inherently physical and cannot be replaced by AI [2]. Refrigerated trucks, driver labor, and cold chain infrastructure require real-world operations that AI cannot substitute. However, the company faces exposure to AI-enabled logistics competitors (JD Logistics, SF Express) that could use route optimization, autonomous driving, and warehouse automation to erode Haoxin's already-thin competitive position in China's fragmented market [2]. The small fleet size (82 tractors) provides no scale advantage against AI-optimized competitors. AI Opportunity (0/1): No AI revenue or AI-powered products evident; the company has not deployed AI in any measurable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Haoxin Holdings FY2024 Annual Report — $25.57M revenue, $3.17M net income, filed with SEC</w:t>
      </w:r>
    </w:p>
    <w:p>
      <w:pPr>
        <w:spacing w:before="20" w:after="20"/>
        <w:ind w:left="170"/>
      </w:pPr>
      <w:r>
        <w:rPr>
          <w:rFonts w:ascii="Calibri" w:hAnsi="Calibri"/>
          <w:b/>
          <w:color w:val="4A6B25"/>
          <w:sz w:val="15"/>
        </w:rPr>
        <w:t xml:space="preserve">2. </w:t>
      </w:r>
      <w:r>
        <w:rPr>
          <w:rFonts w:ascii="Calibri" w:hAnsi="Calibri"/>
          <w:b w:val="0"/>
          <w:color w:val="3A4A28"/>
          <w:sz w:val="17"/>
        </w:rPr>
        <w:t>Haoxin Holdings Investor Relations — ir.haoxinholdings.com, company profile and filings,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Haoxin Holdings IPO Pricing — 1.75M Class A shares at $4.00/share, Nasdaq listing April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HXHX key statistics, avg volume 1.55M, price $0.39, accessed March 2026</w:t>
      </w:r>
    </w:p>
    <w:p>
      <w:pPr>
        <w:spacing w:before="20" w:after="20"/>
        <w:ind w:left="170"/>
      </w:pPr>
      <w:r>
        <w:rPr>
          <w:rFonts w:ascii="Calibri" w:hAnsi="Calibri"/>
          <w:b/>
          <w:color w:val="4A6B25"/>
          <w:sz w:val="15"/>
        </w:rPr>
        <w:t xml:space="preserve">5. </w:t>
      </w:r>
      <w:r>
        <w:rPr>
          <w:rFonts w:ascii="Calibri" w:hAnsi="Calibri"/>
          <w:b w:val="0"/>
          <w:color w:val="3A4A28"/>
          <w:sz w:val="17"/>
        </w:rPr>
        <w:t>Nasdaq Non-Compliance Notification — HXHX minimum bid price requirement, compliance deadline June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