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HXL</w:t>
      </w:r>
      <w:r>
        <w:rPr>
          <w:rFonts w:ascii="Calibri" w:hAnsi="Calibri"/>
          <w:b/>
          <w:color w:val="1A2010"/>
          <w:sz w:val="40"/>
        </w:rPr>
        <w:t xml:space="preserve">  Hexcel Corporation</w:t>
      </w:r>
    </w:p>
    <w:p>
      <w:pPr>
        <w:spacing w:after="120"/>
      </w:pPr>
      <w:r>
        <w:rPr>
          <w:rFonts w:ascii="Calibri" w:hAnsi="Calibri"/>
          <w:b/>
          <w:color w:val="6E8450"/>
          <w:sz w:val="18"/>
        </w:rPr>
        <w:t>GROWTH SLEEVE · 2026-04-30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Hexcel Corporation develops, manufactures, and markets advanced lightweight composite materials and engineered products for commercial aerospace, space and defense, and industrial applications. The company operates through Composite Materials and Engineered Products segments, supplying carbon fiber, prepregs, honeycomb structures, and engineered core products to Airbus, Boeing, and defense primes.</w:t>
      </w:r>
    </w:p>
    <w:p>
      <w:r>
        <w:rPr>
          <w:rFonts w:ascii="Calibri" w:hAnsi="Calibri"/>
          <w:b/>
          <w:color w:val="6E8450"/>
          <w:sz w:val="18"/>
        </w:rPr>
        <w:t>5,563 Employees · https://www.hexcel.com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 holds over 1,350 patents and pending applications worldwide, reflecting sustained R&amp;D investment in advanced composites [3]. Innovation Track Record (2 pts): The company has expanded its carbon fiber capacity and developed next-generation prepreg systems for the A350 and 787 programs, though these are evolutionary rather than transformative. AI Deployment (0 pts): No evidence of AI-powered products or quantified AI-driven cost savings. Market Share Leadership (2 pts): Hexcel is a duopoly leader alongside Toray in aerospace-grade carbon fiber composites, with dominant positions on Airbus A350, Boeing 787, and F-35 programs [1]. Product Pipeline (1 pt): General next-gen thermoplastic composites development underway but no specific product launches with dates announced. R&amp;D Intensity (1 pt): R&amp;D spending is at industry-standard levels for specialty materials.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Hexcel's purpose centers on 'advancing lightweight materials worldwide' — specific and thoughtful, connecting composites innovation to sustainability through fuel savings and emissions reduction, earning a mission floor of 3 [3]. Community &amp; Charitable Impact (1 pt): The Hexcel Foundation commits to increasing giving by 10% annually through 2030, though specific dollar amounts are modest for a $6.8B company [3]. Employee Retention (0 pts): Glassdoor rating of 3.5/5 with mixed reviews citing 'caustic culture' between union operators and management; culture and values rated 3.1/5, below average [2]. Insider Buying (2 pts): Strong net insider buying of 170,856 shares across 21 purchases in the last 6 months versus only 1,500 shares sold, with new CEO Tom Gentile and multiple directors actively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calculated mechanically from financial metrics. Growth stock scoring: D/E of 78.8% scores 0.96 (near target of 70%), ROE of 8.4% scores 0.56 (below 15% target but positive), 9.9% YoY revenue growth scores 1.00, estimated 5yr revenue CAGR of ~6.3% scores 0.75, Forward P/E of 28.5x scores 0.79, profit margin of 6.1% scores 0.30 (depressed by aerospace recovery cycle), and forward PEG of 1.44 scores 0.78 [1][3]. Weighted sum 7.24/10 = Infrastructure 7. Full-year 2026 guidance of $2.0-2.1B revenue and $2.10-$2.30 adjusted EPS with &gt;$195M FCF supports improving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Hexcel demonstrates mixed infinite-game thinking: a genuine commitment to advancing lightweight materials that has endured for decades, but recent leadership transition and mixed cultural indicators suggest the organizational foundation needs strengthening.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Hexcel's cause of 'advancing lightweight materials worldwide' has been validated by 75+ years of continuous investment in carbon fiber and composites technology, surviving multiple aerospace cycles [3]. The connection between lightweight composites and environmental sustainability (fuel savings, emissions reduction) adds depth. The cause has shaped strategic decisions — Hexcel has remained focused on advanced composites rather than diversifying into unrelated materials. Score: 2 points — genuine cause, partially lived out over decades but not yet proven through the current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3.5/5 indicates adequate but not exceptional trust [2]. Employee reviews cite mixed dynamics between union operators, management, and engineers, with culture and values rated only 3.1/5. However, the specialty nature of composites manufacturing tends to create long-tenure specialists, and the company maintains 5,563 employees across global operations. Score: 1 point — adequate trust without major red flags but not an exemplary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 operates in a duopoly with Toray Industries (Japan), and management's language focuses on advancing materials performance rather than 'beating' Toray [1]. The competitive dynamic with Toray has pushed both companies to continuously improve carbon fiber tensile strength, resin systems, and manufacturing efficiency. Hexcel's focus on winning through innovation rather than price competition reflects an infinite competitive mindset. Score: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 has evolved from a basic honeycomb materials producer to a full-spectrum advanced composites company, expanding into carbon fiber, prepregs, and engineered structures over decades [3]. The shift toward thermoplastic composites and space applications shows ongoing adaptation. However, these are incremental evolutions within the same materials science domain, not transformative pivots. Score: 1 point — some flexibility through adjacency expansion.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Tom Gentile as CEO in May 2024 brought Spirit AeroSystems and GE leadership experience to navigate the aerospace recovery cycle [2]. Management's decision to maintain capital investment and R&amp;D spending through the aerospace downturn rather than cutting to protect margins showed discipline. However, the company is largely riding the aerospace recovery cycle rather than making bold contrarian bets.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Hexcel is a duopoly leader in aerospace-grade carbon fiber composites riding the commercial aerospace recovery, with Q1 2026 revenue up 9.9% YoY to $501.5M and adjusted EPS beating consensus by 37% at $0.59 [1]. Full-year 2026 guidance of $2.0-2.1B revenue with $2.10-$2.30 adjusted EPS and &gt;$195M FCF supports the recovery trajectory. Commercial Aerospace segment sales surged 18.8%, driven by Airbus A350, A320neo, and Boeing 787/737 MAX production ramp-ups. Strong insider buying of 170,856 shares in the last 6 months signals management conviction [2].</w:t>
      </w:r>
    </w:p>
    <w:p>
      <w:pPr>
        <w:spacing w:after="120"/>
      </w:pPr>
      <w:r>
        <w:rPr>
          <w:rFonts w:ascii="Calibri" w:hAnsi="Calibri"/>
          <w:b w:val="0"/>
          <w:color w:val="3A4A28"/>
          <w:sz w:val="20"/>
        </w:rPr>
        <w:t>The bear case centers on valuation and margin compression: at 28.5x forward earnings and only 6.1% profit margin, HXL is priced for a full aerospace recovery that depends on Boeing and Airbus executing production ramp-ups that have historically been delayed [1]. The 59.96x trailing P/E reflects still-depressed earnings, and D/E of 78.8% limits balance sheet flexibility. Revenue growth of 9.9% YoY is almost entirely driven by aerospace build rate increases — a Boeing production disruption, supply chain bottleneck, or defense budget cut would directly impact Hexcel's revenue. The Glassdoor culture rating of 3.1/5 for values suggests potential retention risk during a competitive labor market for specialized composites engineers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Airbus A350 and Boeing 787 production rate increases through 2027, with both programs targeting record annual delivery rates that directly drive Hexcel carbon fiber and prepreg volumes [1]</w:t>
      </w:r>
    </w:p>
    <w:p>
      <w:pPr>
        <w:spacing w:before="40" w:after="40"/>
        <w:ind w:left="283"/>
      </w:pPr>
      <w:r>
        <w:rPr>
          <w:rFonts w:ascii="Calibri" w:hAnsi="Calibri"/>
          <w:b/>
          <w:color w:val="4A6B25"/>
          <w:sz w:val="20"/>
        </w:rPr>
        <w:t xml:space="preserve">2. </w:t>
      </w:r>
      <w:r>
        <w:rPr>
          <w:rFonts w:ascii="Calibri" w:hAnsi="Calibri"/>
          <w:b w:val="0"/>
          <w:color w:val="3A4A28"/>
          <w:sz w:val="20"/>
        </w:rPr>
        <w:t>Full-year 2026 adjusted EPS guidance of $2.10-$2.30 implies significant margin expansion from Q1's run rate, with operating leverage as revenue scales toward $2.1B [1]</w:t>
      </w:r>
    </w:p>
    <w:p>
      <w:pPr>
        <w:spacing w:before="40" w:after="40"/>
        <w:ind w:left="283"/>
      </w:pPr>
      <w:r>
        <w:rPr>
          <w:rFonts w:ascii="Calibri" w:hAnsi="Calibri"/>
          <w:b/>
          <w:color w:val="4A6B25"/>
          <w:sz w:val="20"/>
        </w:rPr>
        <w:t xml:space="preserve">3. </w:t>
      </w:r>
      <w:r>
        <w:rPr>
          <w:rFonts w:ascii="Calibri" w:hAnsi="Calibri"/>
          <w:b w:val="0"/>
          <w:color w:val="3A4A28"/>
          <w:sz w:val="20"/>
        </w:rPr>
        <w:t>F-35 program sustainment and next-generation fighter aircraft development (NGAD/GCAP) create long-duration defense composite demand that is less cyclical than commercial aerospace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Boeing production disruptions or further 737 MAX delivery delays would directly reduce Hexcel composite volumes, given Boeing represents an estimated 25-30% of commercial aerospace revenue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6.1% remains well below pre-COVID levels, and raw material cost inflation or supply chain disruptions could delay margin recovery toward the 10-12% target</w:t>
      </w:r>
    </w:p>
    <w:p>
      <w:pPr>
        <w:spacing w:before="40" w:after="40"/>
        <w:ind w:left="283"/>
      </w:pPr>
      <w:r>
        <w:rPr>
          <w:rFonts w:ascii="Calibri" w:hAnsi="Calibri"/>
          <w:b/>
          <w:color w:val="4A6B25"/>
          <w:sz w:val="20"/>
        </w:rPr>
        <w:t xml:space="preserve">3. </w:t>
      </w:r>
      <w:r>
        <w:rPr>
          <w:rFonts w:ascii="Calibri" w:hAnsi="Calibri"/>
          <w:b w:val="0"/>
          <w:color w:val="3A4A28"/>
          <w:sz w:val="20"/>
        </w:rPr>
        <w:t>Forward P/E of 28.5x prices in substantial recovery — any guidance cut or production rate disappointment would trigger significant multiple compression from current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Hexcel's core business — manufacturing physical carbon fiber composites, honeycomb structures, and engineered materials — is structurally immune to AI disruption [2]. AI cannot replace the physical production of advanced materials, nor can it substitute for decades of materials science expertise, FAA/EASA certification requirements, and deeply integrated supply relationships with Airbus and Boeing. AI may actually increase demand as next-generation autonomous aircraft and AI-enabled defense systems require more composite content per platform. Score: 8 points for AI Risk Protection (IMMUNE — physical manufacturing with regulatory moats), 0 for AI Opportunity (no AI revenue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Hexcel Corporation Q1 2026 Earnings Release and Call Transcript, April 2026</w:t>
      </w:r>
    </w:p>
    <w:p>
      <w:pPr>
        <w:spacing w:before="20" w:after="20"/>
        <w:ind w:left="170"/>
      </w:pPr>
      <w:r>
        <w:rPr>
          <w:rFonts w:ascii="Calibri" w:hAnsi="Calibri"/>
          <w:b/>
          <w:color w:val="4A6B25"/>
          <w:sz w:val="15"/>
        </w:rPr>
        <w:t xml:space="preserve">2. </w:t>
      </w:r>
      <w:r>
        <w:rPr>
          <w:rFonts w:ascii="Calibri" w:hAnsi="Calibri"/>
          <w:b w:val="0"/>
          <w:color w:val="3A4A28"/>
          <w:sz w:val="17"/>
        </w:rPr>
        <w:t>Hexcel Corporation Leadership, Glassdoor Reviews, and Insider Transaction Data — Yahoo Finance, Glassdoor, Comparably,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Hexcel Corporation Sustainability Report, Company Website, and Patent Portfolio — hexcel.com,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