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HYT</w:t>
      </w:r>
      <w:r>
        <w:rPr>
          <w:rFonts w:ascii="Calibri" w:hAnsi="Calibri"/>
          <w:b/>
          <w:color w:val="1A2010"/>
          <w:sz w:val="40"/>
        </w:rPr>
        <w:t xml:space="preserve">  BlackRock Corporate High Yield Fund, Inc.</w:t>
      </w:r>
    </w:p>
    <w:p>
      <w:pPr>
        <w:spacing w:after="120"/>
      </w:pPr>
      <w:r>
        <w:rPr>
          <w:rFonts w:ascii="Calibri" w:hAnsi="Calibri"/>
          <w:b/>
          <w:color w:val="6E8450"/>
          <w:sz w:val="18"/>
        </w:rPr>
        <w:t>DIVIDEND SLEEVE · 2026-05-01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BlackRock Corporate High Yield Fund, Inc. is a closed-end fixed income mutual fund launched by BlackRock, Inc. The fund invests primarily in domestic and foreign high yield securities rated Ba or lower by Moody's or BB or lower by S&amp;P, including high yield bonds, corporate loans, convertible debt securities, and preferred securities.</w:t>
      </w:r>
    </w:p>
    <w:p>
      <w:r>
        <w:rPr>
          <w:rFonts w:ascii="Calibri" w:hAnsi="Calibri"/>
          <w:b/>
          <w:color w:val="6E8450"/>
          <w:sz w:val="18"/>
        </w:rPr>
        <w:t>https://www.blackrock.com/investing/products/240182/blackrock-corporate-high-yield-fund-vi-inc-usd-fund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HYT is a passive closed-end bond fund with no product innovation mandate — its strategy of investing in below-investment-grade corporate debt has remained unchanged since its 2003 inception [1]. Innovation Track Record: 0 points — the fund has not launched new products, pivoted strategy, or transformed its business model in any meaningful way. AI Deployment: 0 points — no AI-powered products or reported AI-driven efficiencies specific to this fund vehicle. Market Share Leadership: 1 point — BlackRock is the world's largest asset manager with $11.6T AUM, and HYT holds a Morningstar Bronze medal rating among 29 high yield bond CEFs, indicating competitive positioning [2]. Product Pipeline: 0 points — no next-generation products; the fund follows a static mandate. R&amp;D Intensity: 1 point — BlackRock overall invests heavily in Aladdin technology platform, though this is an enterprise-level investment not specific to HYT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 point — BlackRock's stated purpose is to help people experience financial well-being, a clear but generic asset management mission interchangeable with most peers [1]. Community &amp; Charitable Impact: 1 point — BlackRock Foundation commits significant corporate philanthropy including $100M+ in community investments, though this is at the parent level, not fund-specific [3]. Employee Retention: 1 point — BlackRock maintains stable leadership with Larry Fink's 36-year tenure as CEO, and the firm is consistently ranked among top financial employers, suggesting adequate retention [2]. Insider Buying: 0 points — as a closed-end fund, there is no meaningful insider buying data specific to HYT; fund managers do not typically buy shares of individual fund vehicles.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($8.48M daily value traded). Strong balance sheet with low leverage (D/E 28.2%) and exceptional profit margin (97.8%) typical of a pass-through income vehicle [2]. ROE of 9.5% is modest, reflecting the fund's conservative income mandate. Revenue grew 4.1% YoY to $149.2M in 2025 [1]. The fund's Achilles heel is dividend sustainability — payout ratio exceeds 100% at 102.7%, meaning the fund distributes more than it earns, a common structural feature of leveraged CEFs that erodes NAV over time. No dividend growth: the annual distribution has been flat at $0.936 since 2020, with zero consecutive years of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HYT benefits from BlackRock's institutional durability and Larry Fink's long-tenured leadership, but as a closed-end fund vehicle it has limited strategic autonomy. The fund's 23-year operating history and consistent income mandate demonstrate staying power, but CEF structures are inherently finite instruments — they exist to distribute capital, not to build toward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BlackRock's broader purpose of democratizing financial well-being is genuine but not distinctive in asset management. HYT specifically exists to provide current income to shareholders — a legitimate but transactional purpose that lacks the idealistic, never-fully-achievable quality Sinek requires of a Just Cause [1]. The fund's mandate has remained consistent since 2003, showing durability, but consistency of a narrow income objective does not constitute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BlackRock's fund management teams benefit from the firm's institutional stability and Larry Fink's 36-year tenure as CEO, which provides organizational continuity [2]. The firm is consistently ranked as a top employer in financial services. However, no specific data exists on HYT's portfolio management team turnover or culture distinct from BlackRock broadly.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BlackRock regularly acknowledges competitive dynamics in asset management, referencing peers like Vanguard and Fidelity as motivators for innovation in technology (Aladdin) and fee compression. Fink's annual letters discuss industry evolution constructively rather than in zero-sum terms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HYT operates under a fixed investment mandate established at inception: invest 80%+ in below-investment-grade debt securities. The fund cannot pivot strategy, enter new markets, or reinvent itself without shareholder approval and regulatory filings. This rigidity is by design for a CEF, but it means the fund has zero existential flexibility in the Sinek sense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BlackRock under Fink has demonstrated some courage, notably maintaining ESG integration commitments despite political backlash from Republican-led states withdrawing funds in 2022-2023 [3]. However, BlackRock subsequently softened its ESG messaging, suggesting the courage was partially situational. At the fund level, HYT's managers have no latitude for courageous strategic decisions beyond portfolio positioning within the mandate.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HYT offers a compelling 10.7% distribution yield backed by BlackRock's world-class fixed income management platform and $11.6T AUM infrastructure. The fund's low leverage (28.2% D/E), Morningstar Bronze rating, and 23-year track record of uninterrupted distributions make it a reliable income vehicle for yield-seeking investors. The closed-end structure allows managers to invest in less liquid high yield opportunities that open-end funds cannot access, potentially generating alpha in credit selection.</w:t>
      </w:r>
    </w:p>
    <w:p>
      <w:pPr>
        <w:spacing w:after="120"/>
      </w:pPr>
      <w:r>
        <w:rPr>
          <w:rFonts w:ascii="Calibri" w:hAnsi="Calibri"/>
          <w:b w:val="0"/>
          <w:color w:val="3A4A28"/>
          <w:sz w:val="20"/>
        </w:rPr>
        <w:t>However, the payout ratio exceeding 100% signals structural NAV erosion — the fund consistently distributes more than it earns, meaning shareholders receive income partly from return of capital rather than investment gains. Zero dividend growth over the past five years and flat distributions since 2020 provide no inflation protection. The 2.33% expense ratio is high relative to ETF alternatives like HYG (0.49%), and the closed-end structure introduces discount/premium volatility that adds a layer of risk beyond credit market exposure. Rising default rates in high yield markets during any economic slowdown would directly impair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 rate cuts in 2026 would compress high yield spreads and drive NAV appreciation, potentially narrowing the fund's discount to NAV</w:t>
      </w:r>
    </w:p>
    <w:p>
      <w:pPr>
        <w:spacing w:before="40" w:after="40"/>
        <w:ind w:left="283"/>
      </w:pPr>
      <w:r>
        <w:rPr>
          <w:rFonts w:ascii="Calibri" w:hAnsi="Calibri"/>
          <w:b/>
          <w:color w:val="4A6B25"/>
          <w:sz w:val="20"/>
        </w:rPr>
        <w:t xml:space="preserve">2. </w:t>
      </w:r>
      <w:r>
        <w:rPr>
          <w:rFonts w:ascii="Calibri" w:hAnsi="Calibri"/>
          <w:b w:val="0"/>
          <w:color w:val="3A4A28"/>
          <w:sz w:val="20"/>
        </w:rPr>
        <w:t>BlackRock's Aladdin platform enhancements could improve credit selection and risk management, boosting risk-adjusted returns across fixed income vehicles</w:t>
      </w:r>
    </w:p>
    <w:p>
      <w:pPr>
        <w:spacing w:before="40" w:after="40"/>
        <w:ind w:left="283"/>
      </w:pPr>
      <w:r>
        <w:rPr>
          <w:rFonts w:ascii="Calibri" w:hAnsi="Calibri"/>
          <w:b/>
          <w:color w:val="4A6B25"/>
          <w:sz w:val="20"/>
        </w:rPr>
        <w:t xml:space="preserve">3. </w:t>
      </w:r>
      <w:r>
        <w:rPr>
          <w:rFonts w:ascii="Calibri" w:hAnsi="Calibri"/>
          <w:b w:val="0"/>
          <w:color w:val="3A4A28"/>
          <w:sz w:val="20"/>
        </w:rPr>
        <w:t>Stable U.S. economic growth maintaining low default rates in high yield credit markets, supporting the 10.7% distribution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above 100% structurally erodes NAV over time, meaning the distribution is partially return of capital rather than sustainable income</w:t>
      </w:r>
    </w:p>
    <w:p>
      <w:pPr>
        <w:spacing w:before="40" w:after="40"/>
        <w:ind w:left="283"/>
      </w:pPr>
      <w:r>
        <w:rPr>
          <w:rFonts w:ascii="Calibri" w:hAnsi="Calibri"/>
          <w:b/>
          <w:color w:val="4A6B25"/>
          <w:sz w:val="20"/>
        </w:rPr>
        <w:t xml:space="preserve">2. </w:t>
      </w:r>
      <w:r>
        <w:rPr>
          <w:rFonts w:ascii="Calibri" w:hAnsi="Calibri"/>
          <w:b w:val="0"/>
          <w:color w:val="3A4A28"/>
          <w:sz w:val="20"/>
        </w:rPr>
        <w:t>Economic recession would spike high yield default rates, directly impairing portfolio holdings and forcing potential distribution cuts</w:t>
      </w:r>
    </w:p>
    <w:p>
      <w:pPr>
        <w:spacing w:before="40" w:after="40"/>
        <w:ind w:left="283"/>
      </w:pPr>
      <w:r>
        <w:rPr>
          <w:rFonts w:ascii="Calibri" w:hAnsi="Calibri"/>
          <w:b/>
          <w:color w:val="4A6B25"/>
          <w:sz w:val="20"/>
        </w:rPr>
        <w:t xml:space="preserve">3. </w:t>
      </w:r>
      <w:r>
        <w:rPr>
          <w:rFonts w:ascii="Calibri" w:hAnsi="Calibri"/>
          <w:b w:val="0"/>
          <w:color w:val="3A4A28"/>
          <w:sz w:val="20"/>
        </w:rPr>
        <w:t>Rising competition from lower-cost high yield ETFs (HYG, JNK, USHY) with expense ratios under 0.50% versus HYT's 2.33%, pressuring the fund's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 points — HYT is a closed-end bond fund holding a diversified portfolio of high yield corporate debt. AI cannot replace the need for corporate credit markets, bond coupon payments, or the closed-end fund structure that provides leveraged income to retail investors [1]. The fund's core value proposition — monthly income from a professionally managed portfolio of below-investment-grade bonds — is structurally immune to AI disruption. While BlackRock's Aladdin platform uses AI for risk management and portfolio analytics, this represents efficiency gains at the parent level rather than a threat to the fund's income stream [2]. AI Opportunity: 0 points — HYT generates no AI-related revenue; it is a passive income vehicle with no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BlackRock Corporate High Yield Fund official page — blackrock.com, accessed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HYT key statistics and financial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HYT revenue and financial history,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