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IAC</w:t>
      </w:r>
      <w:r>
        <w:rPr>
          <w:rFonts w:ascii="Calibri" w:hAnsi="Calibri"/>
          <w:b/>
          <w:color w:val="1A2010"/>
          <w:sz w:val="40"/>
        </w:rPr>
        <w:t xml:space="preserve">  IAC Inc.</w:t>
      </w:r>
    </w:p>
    <w:p>
      <w:pPr>
        <w:spacing w:after="120"/>
      </w:pPr>
      <w:r>
        <w:rPr>
          <w:rFonts w:ascii="Calibri" w:hAnsi="Calibri"/>
          <w:b/>
          <w:color w:val="6E8450"/>
          <w:sz w:val="18"/>
        </w:rPr>
        <w:t>GROWTH SLEEVE · 2026-05-03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IAC is a diversified media and internet holding company led by Chairman Barry Diller. Its primary operating asset is People Inc. (formerly Dotdash Meredith), which publishes digital content across 40+ iconic brands including People, Better Homes &amp; Gardens, Allrecipes, Investopedia, and The Daily Beast. IAC also operates Vivian Health (healthcare staffing), IAC Films, and search properties (Ask.com). The company sold Care.com in March 2026.</w:t>
      </w:r>
    </w:p>
    <w:p>
      <w:r>
        <w:rPr>
          <w:rFonts w:ascii="Calibri" w:hAnsi="Calibri"/>
          <w:b/>
          <w:color w:val="6E8450"/>
          <w:sz w:val="18"/>
        </w:rPr>
        <w:t>5,156 Employees · https://www.iac.com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IAC has a distinguished history of value creation through Barry Diller's serial innovation model — spinning off Match Group, Vimeo, and Expedia into independent public companies, generating billions in shareholder value over decades [3]. The 2021 acquisition of Meredith and merger with Dotdash was a transformative bet on premium digital content. However, recent execution has been uneven — Q4 2025 EPS of -$0.99 missed consensus by $1.67, and total revenue declined 10.5% YoY to $2.39B as the Care.com sale and search headwinds pressured results [1]. AI Deployment (1/2): Dotdash Meredith has signed an AI licensing deal with OpenAI, providing content for model training in exchange for ChatGPT linking to its articles — a proactive approach to AI monetization [4]. The company is deploying AI tools for content optimization and programmatic advertising, though these have not yet offset search traffic losses. Market Share (1/2): Dotdash Meredith is a top-3 digital publisher in the U.S. with 40+ iconic brands reaching 200M+ monthly users, commanding strong audience share in food, lifestyle, finance, and entertainment verticals [1]. Pipeline (0/2): No significant new products or businesses announced with specific timelines. The 2026 strategy centers on growing existing Dotdash Meredith digital revenue and licensing, not launching new platforms [1]. R&amp;D Intensity (1/1): IAC invests meaningfully in technology and content platforms relative to the digital media industry, including AI infrastructure and data analytics for Dotdash Meredith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IAC's purpose under Barry Diller has been to 'build great companies' through entrepreneurial leadership and creative risk-taking, which is genuine and distinctive — few holding companies articulate their purpose as serial company creation [3]. However, this is fundamentally a financial purpose (creating shareholder value through company-building) rather than a cause that serves a broader human need. Community Impact (1/2): IAC's brands like People, Investopedia, Allrecipes, and Verywell provide free educational and lifestyle content to hundreds of millions of users, creating significant informational public good [1]. The Daily Beast provides independent journalism. These are genuine community contributions, though primarily monetized through advertising. Employee Retention (1/2): Barry Diller's leadership philosophy emphasizes hiring junior talent and developing them internally — 'if those people grow up in your organization, they become the body of the future' [3]. The 5,156-employee organization under Diller's 30+ year leadership suggests stability, though recent headcount reductions from divestitures create uncertainty. Insider Buying (1/2): Diller has maintained significant equity exposure to IAC for decades, demonstrating conviction in the long-term model. The company's aggressive use of buybacks and strategic capital allocation signals insider belief in undervaluation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IAC's financial profile reflects a company in transition following major divestitures (Care.com, Vimeo, Match). Revenue of $2.39B declined 10.5% YoY, though the decline is substantially driven by the Care.com sale rather than organic deterioration — Dotdash Meredith digital revenue grew 14% to $355M in Q4 2025 [1]. D/E of 34.0% is healthy with $1.63B debt against $960M cash [5]. However, ROE of -2.1% and profit margin of -4.3% reflect net losses of $104M in 2025, though operating cash flow remained positive at $61M and free cash flow was $335M [5]. Forward P/E of 18.8x on expected EPS of $2.39 shows a path to profitability, but trailing PEG of 12.91 is extremely elevated [5]. Revenue CAGR from 2022-2025 of approximately -23% is distorted by divestitures but mechanically scores poorly. EBITDA guidance for 2026 of $297.5M at the midpoint was below the $319M consensus [1]. Liquidity floor easily cleared: 1.13M avg volume x $44.97 = $50.9M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IAC under Barry Diller is one of the clearest examples of infinite game thinking in corporate America — Diller has been building, acquiring, and spinning off companies for 30+ years, treating IAC not as a business to optimize but as a perpetual company-creation engine. The willingness to spin off successful businesses (Expedia, Match, Vimeo) rather than holding them for conglomerate scale demonstrates an unusual commitment to long-term value creation over short-term empire building. However, the current IAC faces finite challenges — AI disruption of its core content business and declining revenue require immediate strategic response.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Diller's Just Cause — building great companies by identifying trends before the market, nurturing them with entrepreneurial talent, and releasing them as independent entities — has been validated by 30+ years of execution across television (Fox), travel (Expedia), dating (Match), and media (Dotdash Meredith) [3]. This is not a mission statement — it's a demonstrated pattern of behavior that has created tens of billions of shareholder value. The cause endures beyond any single business, which is the hallmark of an infinite-minded organization.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Diller's philosophy of hiring junior talent and developing them internally creates a culture of mentorship and long-term team building [3]. The decentralized operating model gives brand leaders at Dotdash Meredith significant autonomy. However, the serial acquisition-and-spinoff model means IAC's organizational identity is constantly shifting, which can undermine long-term team cohesion. Recent leadership changes (new CEO of People Inc.) and headcount changes from divestitures create transitional instability.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Diller has explicitly acknowledged that AI companies and Big Tech platforms are competitive forces that push IAC to improve — the OpenAI licensing deal reflects a willingness to partner with rather than simply fight against AI disruption [4]. Diller's public commentary consistently frames competition as a force for improvement rather than a war to win, stating 'you cannot be cynical — cynicism kills everything' when discussing competitive threats [3].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IAC has reinvented itself more fundamentally and more frequently than almost any public company. From television (Fox Broadcasting) to online travel (Expedia) to dating (Match.com) to digital media (Dotdash Meredith), Diller has repeatedly abandoned successful businesses through spinoffs to pursue the next transformative opportunity [3]. The Care.com sale in March 2026 is the latest example of willingness to exit a profitable business that no longer fits the portfolio. Each transformation was driven by Diller's vision of where value was moving, not by desperation. Sinek would cite IAC as a canonical example of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acquire Meredith for $2.7B in 2021 — betting on premium content in an era of declining digital publishing — required conviction. The OpenAI licensing deal showed willingness to partner with a disruptive force rather than fight futilely against it [4]. Diller's continued involvement at 83 years old demonstrates personal commitment. However, the below-consensus EBITDA guidance ($297.5M vs. $319M expected) and Q4 earnings miss suggest the current strategy is still proving itself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IAC trades at $44.97 ($3.4B market cap) and is transitioning to a focused digital media company anchored by People Inc. (Dotdash Meredith), which showed 14% digital revenue growth to $355M in Q4 2025 — demonstrating organic strength in its core content business [1]. At 18.8x forward P/E with an expected return to profitability in 2026 ($2.39 forward EPS), IAC offers exposure to one of digital media's strongest brand portfolios (People, Better Homes &amp; Gardens, Allrecipes, Investopedia) at a discount to NAV, given the company's $960M cash position and $335M free cash flow [5]. Barry Diller's 30+ year track record of identifying trends and creating multi-billion-dollar businesses (Expedia, Match, Vimeo) provides a proven capital allocator at the helm [3]. The OpenAI licensing partnership positions Dotdash Meredith to monetize AI rather than be disrupted by it, and the reduction of Google search dependence from 60% to 33% of traffic shows proactive risk management [4].</w:t>
      </w:r>
    </w:p>
    <w:p>
      <w:pPr>
        <w:spacing w:after="120"/>
      </w:pPr>
      <w:r>
        <w:rPr>
          <w:rFonts w:ascii="Calibri" w:hAnsi="Calibri"/>
          <w:b w:val="0"/>
          <w:color w:val="3A4A28"/>
          <w:sz w:val="20"/>
        </w:rPr>
        <w:t>The bear case is substantial. IAC's core digital publishing business faces existential pressure from AI — Google AI Overviews appear on one-third of searches related to Dotdash Meredith content, and ChatGPT/Perplexity can directly answer queries that previously drove ad-supported traffic [4]. Revenue declined 10.5% YoY to $2.39B (partly from Care.com divestiture), and the company reported a $104M net loss in 2025 with -4.35% profit margin [5]. 2026 EBITDA guidance of $297.5M at the midpoint was below consensus, suggesting margin recovery will be slower than expected [1]. The PEG ratio of 12.91 implies minimal growth relative to valuation. Diller is 83 years old and succession planning remains a key risk — IAC's value creation model is deeply dependent on his judgment and relationships. The search properties (Ask.com, Reference.com) face near-total disruption from AI search, and the revenue mix is shifting toward lower-growth digital advertising in a commoditizing market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Dotdash Meredith digital revenue growth acceleration — Q4 2025's 14% growth driven by advertising, performance marketing, and licensing suggests the content monetization strategy is working despite AI headwinds [1]</w:t>
      </w:r>
    </w:p>
    <w:p>
      <w:pPr>
        <w:spacing w:before="40" w:after="40"/>
        <w:ind w:left="283"/>
      </w:pPr>
      <w:r>
        <w:rPr>
          <w:rFonts w:ascii="Calibri" w:hAnsi="Calibri"/>
          <w:b/>
          <w:color w:val="4A6B25"/>
          <w:sz w:val="20"/>
        </w:rPr>
        <w:t xml:space="preserve">2. </w:t>
      </w:r>
      <w:r>
        <w:rPr>
          <w:rFonts w:ascii="Calibri" w:hAnsi="Calibri"/>
          <w:b w:val="0"/>
          <w:color w:val="3A4A28"/>
          <w:sz w:val="20"/>
        </w:rPr>
        <w:t>OpenAI licensing partnership expansion and potential additional AI content licensing deals that monetize the 40+ brand content library as AI training data [4]</w:t>
      </w:r>
    </w:p>
    <w:p>
      <w:pPr>
        <w:spacing w:before="40" w:after="40"/>
        <w:ind w:left="283"/>
      </w:pPr>
      <w:r>
        <w:rPr>
          <w:rFonts w:ascii="Calibri" w:hAnsi="Calibri"/>
          <w:b/>
          <w:color w:val="4A6B25"/>
          <w:sz w:val="20"/>
        </w:rPr>
        <w:t xml:space="preserve">3. </w:t>
      </w:r>
      <w:r>
        <w:rPr>
          <w:rFonts w:ascii="Calibri" w:hAnsi="Calibri"/>
          <w:b w:val="0"/>
          <w:color w:val="3A4A28"/>
          <w:sz w:val="20"/>
        </w:rPr>
        <w:t>Capital allocation — with $960M cash and $335M free cash flow post-Care.com sale, Diller has significant firepower for transformative acquisitions or aggressive buybacks that could unlock NAV discount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of digital publishing — Google AI Overviews on one-third of relevant searches and ChatGPT substitution threaten Dotdash Meredith's ad-supported traffic model, with 3% session declines already evident [4]</w:t>
      </w:r>
    </w:p>
    <w:p>
      <w:pPr>
        <w:spacing w:before="40" w:after="40"/>
        <w:ind w:left="283"/>
      </w:pPr>
      <w:r>
        <w:rPr>
          <w:rFonts w:ascii="Calibri" w:hAnsi="Calibri"/>
          <w:b/>
          <w:color w:val="4A6B25"/>
          <w:sz w:val="20"/>
        </w:rPr>
        <w:t xml:space="preserve">2. </w:t>
      </w:r>
      <w:r>
        <w:rPr>
          <w:rFonts w:ascii="Calibri" w:hAnsi="Calibri"/>
          <w:b w:val="0"/>
          <w:color w:val="3A4A28"/>
          <w:sz w:val="20"/>
        </w:rPr>
        <w:t>Succession risk — Barry Diller's 30+ year track record is irreplaceable at age 83, and IAC's value creation model depends heavily on his strategic judgment and deal-making ability [3]</w:t>
      </w:r>
    </w:p>
    <w:p>
      <w:pPr>
        <w:spacing w:before="40" w:after="40"/>
        <w:ind w:left="283"/>
      </w:pPr>
      <w:r>
        <w:rPr>
          <w:rFonts w:ascii="Calibri" w:hAnsi="Calibri"/>
          <w:b/>
          <w:color w:val="4A6B25"/>
          <w:sz w:val="20"/>
        </w:rPr>
        <w:t xml:space="preserve">3. </w:t>
      </w:r>
      <w:r>
        <w:rPr>
          <w:rFonts w:ascii="Calibri" w:hAnsi="Calibri"/>
          <w:b w:val="0"/>
          <w:color w:val="3A4A28"/>
          <w:sz w:val="20"/>
        </w:rPr>
        <w:t>Revenue and profitability recovery — 10.5% revenue decline, $104M net loss, and below-consensus 2026 EBITDA guidance create uncertainty about whether the focused media strategy can deliver sustainable profitable growth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IAC's core business — digital content publishing and search — is directly exposed to AI disruption. Google AI Overviews appear on roughly one-third of searches related to Dotdash Meredith content, and the company reported a 3% YoY decline in core user sessions attributed to 'weakening referral traffic from search platforms' [4]. AI chatbots (ChatGPT, Perplexity, Gemini) can directly answer queries that previously drove traffic to Investopedia, Verywell, Allrecipes, and other Dotdash Meredith sites, creating real substitution risk for ad-supported content monetization. The company has reduced Google search dependence from 60% of traffic (2021) to ~33%, which is defensive but still significant [4]. Ask.com and search properties face existential pressure from AI search alternatives. The Daily Beast's journalism is somewhat more defensible but still vulnerable to AI-generated news summaries. AI Opportunity (1/1): The OpenAI licensing deal provides direct AI revenue — IAC is monetizing its content library through AI training data licensing, and ChatGPT links back to Dotdash Meredith content [4]. This creates a nascent but quantifiable AI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IAC Q4 2025 Earnings / Q1 2026 Updates — Dotdash Meredith 14% digital revenue growth, -$0.99 EPS, Care.com sale, EBITDA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 Comparably — IAC Inc. employee reviews and ratings,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CNBC / HBR / Wikipedia — Barry Diller leadership profile, IAC company history, serial company creation model, 2025-2026</w:t>
      </w:r>
    </w:p>
    <w:p>
      <w:pPr>
        <w:spacing w:before="20" w:after="20"/>
        <w:ind w:left="170"/>
      </w:pPr>
      <w:r>
        <w:rPr>
          <w:rFonts w:ascii="Calibri" w:hAnsi="Calibri"/>
          <w:b/>
          <w:color w:val="4A6B25"/>
          <w:sz w:val="15"/>
        </w:rPr>
        <w:t xml:space="preserve">4. </w:t>
      </w:r>
      <w:r>
        <w:rPr>
          <w:rFonts w:ascii="Calibri" w:hAnsi="Calibri"/>
          <w:b w:val="0"/>
          <w:color w:val="3A4A28"/>
          <w:sz w:val="17"/>
        </w:rPr>
        <w:t>AdExchanger / VideoWeek / Search Engine Land — Dotdash Meredith AI impact analysis, OpenAI licensing deal, Google AI Overviews traffic effects,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IAC (IAC Inc.), retrieved May 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