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IAG</w:t>
      </w:r>
      <w:r>
        <w:rPr>
          <w:rFonts w:ascii="Calibri" w:hAnsi="Calibri"/>
          <w:b/>
          <w:color w:val="1A2010"/>
          <w:sz w:val="40"/>
        </w:rPr>
        <w:t xml:space="preserve">  IAMGOLD Corporation</w:t>
      </w:r>
    </w:p>
    <w:p>
      <w:pPr>
        <w:spacing w:after="120"/>
      </w:pPr>
      <w:r>
        <w:rPr>
          <w:rFonts w:ascii="Calibri" w:hAnsi="Calibri"/>
          <w:b/>
          <w:color w:val="6E8450"/>
          <w:sz w:val="18"/>
        </w:rPr>
        <w:t>GROWTH SLEEVE · 2026-03-27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IAMGOLD Corporation is a mid-tier gold producer operating mines in Canada and Burkina Faso. The company's flagship Cote Gold Mine in Ontario achieved nameplate capacity in 2025 and is positioned for expansion, while the Essakane mine in Burkina Faso provides strong cash flow. IAMGOLD also holds the Nelligan Mining Complex with 11.8M ounces of gold resources.</w:t>
      </w:r>
    </w:p>
    <w:p>
      <w:r>
        <w:rPr>
          <w:rFonts w:ascii="Calibri" w:hAnsi="Calibri"/>
          <w:b/>
          <w:color w:val="6E8450"/>
          <w:sz w:val="18"/>
        </w:rPr>
        <w:t>3,741 Employees · https://www.iamgold.com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IAMGOLD successfully ramped Cote Gold to nameplate capacity of 36,000 tpd ahead of schedule, a significant execution achievement that transformed the company from a single-mine operator to a multi-asset producer [1]. AI Deployment (0/2): No evidence of AI deployment in mining operations, exploration, or processing [1]. Market Share Leadership (2/2): Cote Gold is one of the largest new gold mines globally and IAMGOLD has consolidated the Nelligan Mining Complex with 11.8M ounces of resources, establishing a major Canadian growth platform [1]. Product Pipeline (1/2): The planned Cote expansion to 50,000+ tpd and the Nelligan development provide clear growth visibility, with an updated technical report expected Q4 2026 [1]. R&amp;D Intensity (1/1): Exploration and development spending is above average for mid-tier gold producers, with active drilling at Nelligan and Cote expansion studies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IAMGOLD's mission centers on responsible gold mining with commitments to local communities, though articulation is primarily commercial rather than aspirational [1]. Community Impact (2/2): The company provides estimated $288.5M in annual government payments to Saskatchewan-equivalent jurisdictions, employs 3,741 people, and has extensive Indigenous community partnerships in Ontario and Burkina Faso [1]. Employee Retention (1/2): Rapid workforce scaling for Cote Gold construction and ramp-up has required significant hiring; retention data is not prominently disclosed [1]. Insider Buying (0/2): No evidence of meaningful insider buying; recent capital allocation has focused on debt repayment and operations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IAMGOLD's financials have transformed — ROE of 19.2% exceeds the 15% target, D/E of 17.9% is very conservative, and profit margin of 23.3% exceeds the 20% threshold [1]. Revenue surged 131.6% YoY to $2.85B driven by Cote Gold ramp and record gold prices [1]. Forward P/E of 7.5 is attractively valued for a gold producer with growth optionality. Mine-site free cash flow reached a record $1.199B, enabling $514.9M in net debt reduction to $344.4M [1]. EPS of $1.23 adjusted and revenue CAGR is exceptional. Daily dollar volume of ~$149M provides strong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IAMGOLD's multi-decade mine development approach and Nelligan consolidation demonstrate long-term strategic thinking, but the company's heavy dependence on gold prices and geopolitical risk in Burkina Faso introduce finite-game vulnerability.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Responsible gold mining with community benefit is meaningful but primarily commercially motivated; IAMGOLD's cause is providing returns to shareholders through commodity production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successful Cote Gold ramp-up ahead of schedule suggests strong operational team execution, and the 3,741-person workforce operates across challenging environments with apparent effectiveness [1].</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IAMGOLD competes against Barrick, Newmont, and mid-tier peers on operational execution and resource quality rather than price, with Cote Gold's low-cost profile as its primary differentiator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consolidation of Nelligan (11.8M ounces), Cote expansion to 50,000+ tpd, and active debt reduction demonstrate strategic flexibility and multiple growth pathways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Building Cote Gold through a challenging commodity environment required conviction, and the decision to consolidate Nelligan shows proactive long-term resource development thinking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IAMGOLD has undergone a remarkable transformation — record revenues of nearly $3B, mine-site free cash flow of $1.199B, and net debt reduction of $515M to $344.4M in 2025 demonstrate the powerful earnings leverage of Cote Gold at elevated gold prices [1]. At a forward P/E of 7.5x with ROE of 19.2% and D/E of 17.9%, IAMGOLD is attractively valued relative to gold producer peers. The Cote expansion to 50,000+ tpd and Nelligan development (11.8M ounces) provide clear multi-year growth visibility, while Essakane is expected to generate $400-500M in attributable free cash flow in 2026 at $4,000/oz gold, earmarked for buybacks. Analyst targets of $24+ imply 40%+ upside [1].</w:t>
      </w:r>
    </w:p>
    <w:p>
      <w:pPr>
        <w:spacing w:after="120"/>
      </w:pPr>
      <w:r>
        <w:rPr>
          <w:rFonts w:ascii="Calibri" w:hAnsi="Calibri"/>
          <w:b w:val="0"/>
          <w:color w:val="3A4A28"/>
          <w:sz w:val="20"/>
        </w:rPr>
        <w:t>The primary risk is gold price dependency — IAMGOLD's record results were driven by an average realized price of $3,482/oz in 2025 ($4,191 in Q4), and any meaningful gold price decline would severely compress margins and cash flow [1]. 2026 AISC guidance of $2,000-2,150/oz is 14% higher than 2025, reflecting cost inflation and higher royalties. Essakane's Burkina Faso location carries geopolitical and security risk that has caused cost pressures, and a 7% P&amp;P reserve reduction signals resource depletion. The stock has declined 32% from its $24.87 high, and 2026 production guidance of 720-820K oz is roughly flat with 2025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Cote Gold expansion study and Super Pit technical report in Q4 2026 could unlock significant additional production capacity and reserve additions [1]</w:t>
      </w:r>
    </w:p>
    <w:p>
      <w:pPr>
        <w:spacing w:before="40" w:after="40"/>
        <w:ind w:left="283"/>
      </w:pPr>
      <w:r>
        <w:rPr>
          <w:rFonts w:ascii="Calibri" w:hAnsi="Calibri"/>
          <w:b/>
          <w:color w:val="4A6B25"/>
          <w:sz w:val="20"/>
        </w:rPr>
        <w:t xml:space="preserve">2. </w:t>
      </w:r>
      <w:r>
        <w:rPr>
          <w:rFonts w:ascii="Calibri" w:hAnsi="Calibri"/>
          <w:b w:val="0"/>
          <w:color w:val="3A4A28"/>
          <w:sz w:val="20"/>
        </w:rPr>
        <w:t>Essakane free cash flow of $400-500M at $4,000/oz gold in 2026 supports substantial share repurchases and balance sheet strengthening [1]</w:t>
      </w:r>
    </w:p>
    <w:p>
      <w:pPr>
        <w:spacing w:before="40" w:after="40"/>
        <w:ind w:left="283"/>
      </w:pPr>
      <w:r>
        <w:rPr>
          <w:rFonts w:ascii="Calibri" w:hAnsi="Calibri"/>
          <w:b/>
          <w:color w:val="4A6B25"/>
          <w:sz w:val="20"/>
        </w:rPr>
        <w:t xml:space="preserve">3. </w:t>
      </w:r>
      <w:r>
        <w:rPr>
          <w:rFonts w:ascii="Calibri" w:hAnsi="Calibri"/>
          <w:b w:val="0"/>
          <w:color w:val="3A4A28"/>
          <w:sz w:val="20"/>
        </w:rPr>
        <w:t>Nelligan Mining Complex advancement toward development decision adds a major new growth platform with 11.8M ounces of gold resources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decline from current elevated levels ($4,000+/oz) would severely compress margins given 2026 AISC guidance of $2,000-2,150/oz [1]</w:t>
      </w:r>
    </w:p>
    <w:p>
      <w:pPr>
        <w:spacing w:before="40" w:after="40"/>
        <w:ind w:left="283"/>
      </w:pPr>
      <w:r>
        <w:rPr>
          <w:rFonts w:ascii="Calibri" w:hAnsi="Calibri"/>
          <w:b/>
          <w:color w:val="4A6B25"/>
          <w:sz w:val="20"/>
        </w:rPr>
        <w:t xml:space="preserve">2. </w:t>
      </w:r>
      <w:r>
        <w:rPr>
          <w:rFonts w:ascii="Calibri" w:hAnsi="Calibri"/>
          <w:b w:val="0"/>
          <w:color w:val="3A4A28"/>
          <w:sz w:val="20"/>
        </w:rPr>
        <w:t>Geopolitical and security risk at Essakane in Burkina Faso has caused cost pressures and could escalate to operational disruption [1]</w:t>
      </w:r>
    </w:p>
    <w:p>
      <w:pPr>
        <w:spacing w:before="40" w:after="40"/>
        <w:ind w:left="283"/>
      </w:pPr>
      <w:r>
        <w:rPr>
          <w:rFonts w:ascii="Calibri" w:hAnsi="Calibri"/>
          <w:b/>
          <w:color w:val="4A6B25"/>
          <w:sz w:val="20"/>
        </w:rPr>
        <w:t xml:space="preserve">3. </w:t>
      </w:r>
      <w:r>
        <w:rPr>
          <w:rFonts w:ascii="Calibri" w:hAnsi="Calibri"/>
          <w:b w:val="0"/>
          <w:color w:val="3A4A28"/>
          <w:sz w:val="20"/>
        </w:rPr>
        <w:t>2026 AISC guidance 14% higher than 2025 reflects cost inflation that could erode margins even if gold prices remain elevated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is an inherently physical, capital-intensive, and geologically complex activity that AI cannot displace [1]. The extraction, processing, and refining of gold require massive physical infrastructure, specialized equipment, and geological expertise. Regulatory and environmental permitting creates additional barriers. AI Opportunity (0/1): IAMGOLD has not disclosed AI-driven mining optimization, exploration tools, or processing improvements, though these represent future opportunities for operational efficiency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IAMGOLD Q4 and Full Year 2025 Earnings Release and 2026 Guidance, January-February 2026</w:t>
      </w:r>
    </w:p>
    <w:p>
      <w:pPr>
        <w:spacing w:before="20" w:after="20"/>
        <w:ind w:left="170"/>
      </w:pPr>
      <w:r>
        <w:rPr>
          <w:rFonts w:ascii="Calibri" w:hAnsi="Calibri"/>
          <w:b/>
          <w:color w:val="4A6B25"/>
          <w:sz w:val="15"/>
        </w:rPr>
        <w:t xml:space="preserve">2. </w:t>
      </w:r>
      <w:r>
        <w:rPr>
          <w:rFonts w:ascii="Calibri" w:hAnsi="Calibri"/>
          <w:b w:val="0"/>
          <w:color w:val="3A4A28"/>
          <w:sz w:val="17"/>
        </w:rPr>
        <w:t>IAMGOLD Investor Relations,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IAG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