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IBIO</w:t>
      </w:r>
      <w:r>
        <w:rPr>
          <w:rFonts w:ascii="Calibri" w:hAnsi="Calibri"/>
          <w:b/>
          <w:color w:val="1A2010"/>
          <w:sz w:val="40"/>
        </w:rPr>
        <w:t xml:space="preserve">  iBio, Inc.</w:t>
      </w:r>
    </w:p>
    <w:p>
      <w:pPr>
        <w:spacing w:after="120"/>
      </w:pPr>
      <w:r>
        <w:rPr>
          <w:rFonts w:ascii="Calibri" w:hAnsi="Calibri"/>
          <w:b/>
          <w:color w:val="6E8450"/>
          <w:sz w:val="18"/>
        </w:rPr>
        <w:t>GROWTH SLEEVE · 2026-04-22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iBio is a preclinical-stage biotechnology company developing AI-driven antibody therapeutics for cardiometabolic and oncology indications. The company's platform uses machine learning-based epitope steering, antibody masking (ShieldTx), and optimization (StableHu) technologies. Lead programs include IBIO-600 and IBIO-610 in the cardiometabolic space, with a collaboration with AstralBio for obesity targets.</w:t>
      </w:r>
    </w:p>
    <w:p>
      <w:r>
        <w:rPr>
          <w:rFonts w:ascii="Calibri" w:hAnsi="Calibri"/>
          <w:b/>
          <w:color w:val="6E8450"/>
          <w:sz w:val="18"/>
        </w:rPr>
        <w:t>20 Employees · https://ibioinc.com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iBio pivoted from a plant-based biologics CDMO to an AI-driven antibody therapeutics company, a meaningful transformation, but has yet to produce any clinical-stage products or meaningful revenue from the pivot [1][2]. AI Deployment (2/2): The company's core platform is AI-driven — StableHu uses machine learning to optimize antibody stability and developability, and the AI epitope steering technology guides antibodies to specific protein regions with measurable design accuracy improvements [2]. Market Share (0/2): iBio is a micro-cap ($69M) preclinical company with no commercial products and no meaningful market share in any category [1]. Pipeline (1/2): IBIO-600 and IBIO-610 are advancing through preclinical NHP studies with CMC activities underway, and the AstralBio collaboration targets obesity, but no IND filing dates or clinical timelines have been disclosed [1]. R&amp;D Intensity (0/1): R&amp;D spending is increasing but total revenue is $300K trailing; the company is essentially all R&amp;D, making the metric uninformative relative to industry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iBio's stated purpose centers on leveraging AI to develop precision antibodies for patients with serious diseases — a clear but not distinctive biotech mission that is common across the industry [2]. Community Impact (0/2): No evidence of charitable programs, foundation, or community investment. With only 20 employees, the company has minimal community footprint [2]. Employee Retention (1/2): Glassdoor rating of 3.7/5 with 80% recommending; CEO Martin Brenner's open-cubicle leadership style and emphasis on mentorship and empowerment suggest a functional culture for a small team, though the sample is tiny [3]. Insider Buying (0/2): No evidence of meaningful net insider buying found; the company recently completed a $26M PIPE offering, which is institutional capital, not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avg_daily_volume (1,009,867) x stock_price ($1.92) = $1.94M [4]. Financial metrics are catastrophic for a preclinical biotech. D/E of 4.3% scores 1.0 (low debt due to $52.7M PIPE cash against $2.5M debt, masking -$11.3M annual FCF burn) [4]. ROE of -70.2% floors at 0.0 (deep losses consuming equity). Profit margin of 0% floors at 0.0 on negligible $300K trailing revenue [4]. Forward P/E, PEG ratio, revenue growth YoY, and 5yr revenue CAGR are all unavailable or meaningless (negative earnings, near-zero revenue base) and excluded from calculation. Growth stock scoring: weighted sum = 1.0 (D/E at 1x) / max 4.0 (D/E 1x + ROE 2x + Profit Margin 1x) = 0.25 x 10 = 2.5, rounded to 3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iBio has undergone a significant strategic pivot from plant-based biologics to AI-driven antibody therapeutics, showing some existential flexibility. However, the company is too early-stage to have demonstrated sustained purpose, and the pivot appears driven by survival necessity rather than a deeply held Just Cause. With only 20 employees and preclinical programs, the organizational foundation for infinite game thinking is nascent.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iBio's cause — using AI to design precision antibodies for serious diseases — is genuine but shallow (1/3 points). The company articulates a vision of AI-driven drug design but hasn't had time to validate it through consistent execution. The pivot from plant-based biologics to AI antibodies suggests adaptability but also inconsistency in purpose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Brenner's centrally-located cubicle and emphasis on trust, transparency, and collaboration suggest genuine effort to build a high-trust culture (1/2 points). The Glassdoor 3.7/5 rating with 80% recommendation rate supports this, though the 20-person team makes statistical assessment unreliable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points). iBio's competitive positioning focuses on its AI platform advantages versus traditional antibody discovery methods, framing competition as differentiation rather than learning from worthy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iBioPharma's plant-based biologics CDMO model to an AI-driven antibody therapeutics company represents meaningful strategic adaptation (1/2 points). However, this was driven by business necessity as the CDMO model failed, rather than proactive cause-driven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Martin Brenner, with experience at Eli Lilly, Pfizer, AstraZeneca, and Merck, made the courageous decision to completely redefine iBio's business around AI antibody design (1/2 points). The $26M PIPE raise extends runway into FY2028, showing commitment to the long-term vision despite zero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iBio represents a high-risk, high-reward bet on AI-driven antibody discovery in the cardiometabolic and oncology space. The company's StableHu, EngageTx, and AI epitope steering platforms use machine learning to design precision antibodies with potentially superior specificity [2]. The $26M PIPE offering extends cash runway into Q3 FY2028, providing approximately two years to advance IBIO-600 and IBIO-610 through preclinical studies and toward IND filing [1]. The AstralBio collaboration for obesity targets taps into the rapidly growing GLP-1/cardiometabolic market. CEO Martin Brenner's big-pharma pedigree (Eli Lilly, Pfizer, AstraZeneca, Merck) brings drug development expertise to a 20-person team [3].</w:t>
      </w:r>
    </w:p>
    <w:p>
      <w:pPr>
        <w:spacing w:after="120"/>
      </w:pPr>
      <w:r>
        <w:rPr>
          <w:rFonts w:ascii="Calibri" w:hAnsi="Calibri"/>
          <w:b w:val="0"/>
          <w:color w:val="3A4A28"/>
          <w:sz w:val="20"/>
        </w:rPr>
        <w:t>The bear case is severe. iBio has essentially zero revenue ($300K trailing), a $69M market cap, and no clinical-stage programs — meaning the earliest potential revenue from drug candidates is years away [4]. The company burns approximately $11.3M in FCF annually against $52.7M cash, creating a hard deadline even with the PIPE extension [4]. The AI antibody platform is unvalidated clinically, and larger competitors (Absci, Generate Biomedicines, major pharma AI labs) have vastly more resources for AI drug discovery. Preclinical biotech failure rates exceed 90%, and iBio must either partner or raise additional dilutive capital to fund clinical trials. The stock trades at $1.92 with high volatility and micro-cap liquidity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IBIO-600 and IBIO-610 NHP preclinical study readouts that could validate the AI antibody platform and attract partnership interest [1]</w:t>
      </w:r>
    </w:p>
    <w:p>
      <w:pPr>
        <w:spacing w:before="40" w:after="40"/>
        <w:ind w:left="283"/>
      </w:pPr>
      <w:r>
        <w:rPr>
          <w:rFonts w:ascii="Calibri" w:hAnsi="Calibri"/>
          <w:b/>
          <w:color w:val="4A6B25"/>
          <w:sz w:val="20"/>
        </w:rPr>
        <w:t xml:space="preserve">2. </w:t>
      </w:r>
      <w:r>
        <w:rPr>
          <w:rFonts w:ascii="Calibri" w:hAnsi="Calibri"/>
          <w:b w:val="0"/>
          <w:color w:val="3A4A28"/>
          <w:sz w:val="20"/>
        </w:rPr>
        <w:t>AstralBio collaboration milestones for obesity/cardiometabolic targets in the lucrative GLP-1 adjacent space [2]</w:t>
      </w:r>
    </w:p>
    <w:p>
      <w:pPr>
        <w:spacing w:before="40" w:after="40"/>
        <w:ind w:left="283"/>
      </w:pPr>
      <w:r>
        <w:rPr>
          <w:rFonts w:ascii="Calibri" w:hAnsi="Calibri"/>
          <w:b/>
          <w:color w:val="4A6B25"/>
          <w:sz w:val="20"/>
        </w:rPr>
        <w:t xml:space="preserve">3. </w:t>
      </w:r>
      <w:r>
        <w:rPr>
          <w:rFonts w:ascii="Calibri" w:hAnsi="Calibri"/>
          <w:b w:val="0"/>
          <w:color w:val="3A4A28"/>
          <w:sz w:val="20"/>
        </w:rPr>
        <w:t>Potential pharma partnership or licensing deal that would validate the AI epitope steering platform and provide non-dilutive funding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Preclinical failure — no programs have entered human trials, and the 90%+ attrition rate for preclinical candidates applies fully to iBio's pipeline [1]</w:t>
      </w:r>
    </w:p>
    <w:p>
      <w:pPr>
        <w:spacing w:before="40" w:after="40"/>
        <w:ind w:left="283"/>
      </w:pPr>
      <w:r>
        <w:rPr>
          <w:rFonts w:ascii="Calibri" w:hAnsi="Calibri"/>
          <w:b/>
          <w:color w:val="4A6B25"/>
          <w:sz w:val="20"/>
        </w:rPr>
        <w:t xml:space="preserve">2. </w:t>
      </w:r>
      <w:r>
        <w:rPr>
          <w:rFonts w:ascii="Calibri" w:hAnsi="Calibri"/>
          <w:b w:val="0"/>
          <w:color w:val="3A4A28"/>
          <w:sz w:val="20"/>
        </w:rPr>
        <w:t>Cash runway exhaustion — $52.7M cash with ~$11.3M annual burn requires additional dilutive financing if partnerships don't materialize before Q3 FY2028 [4]</w:t>
      </w:r>
    </w:p>
    <w:p>
      <w:pPr>
        <w:spacing w:before="40" w:after="40"/>
        <w:ind w:left="283"/>
      </w:pPr>
      <w:r>
        <w:rPr>
          <w:rFonts w:ascii="Calibri" w:hAnsi="Calibri"/>
          <w:b/>
          <w:color w:val="4A6B25"/>
          <w:sz w:val="20"/>
        </w:rPr>
        <w:t xml:space="preserve">3. </w:t>
      </w:r>
      <w:r>
        <w:rPr>
          <w:rFonts w:ascii="Calibri" w:hAnsi="Calibri"/>
          <w:b w:val="0"/>
          <w:color w:val="3A4A28"/>
          <w:sz w:val="20"/>
        </w:rPr>
        <w:t>Platform validation risk — AI-designed antibodies have not been clinically proven by iBio, and larger AI biotech competitors have more advanced pipelines and deeper resources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iBio is a preclinical biotech with no commercial products — the core risk is clinical failure, not AI disruption. However, the company's AI antibody design platform could face competitive pressure from larger pharma companies (Eli Lilly, AstraZeneca) deploying vastly superior AI/ML resources for antibody discovery [2][3]. The moat is the proprietary epitope steering and StableHu platforms, but these are unvalidated in clinical settings. Biotech drug development has moderate AI disruption exposure as AI accelerates competitor discovery timelines. AI Opportunity (1/1): iBio's entire platform IS AI-driven — StableHu, EngageTx, ShieldTx, and AI epitope steering are machine learning-based tools that constitute the company's core technology and potential future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iBio Q2 FY2026 Financial Results — $52.7M cash, $26M PIPE, cash runway into Q3 FY2028, February 2026</w:t>
      </w:r>
    </w:p>
    <w:p>
      <w:pPr>
        <w:spacing w:before="20" w:after="20"/>
        <w:ind w:left="170"/>
      </w:pPr>
      <w:r>
        <w:rPr>
          <w:rFonts w:ascii="Calibri" w:hAnsi="Calibri"/>
          <w:b/>
          <w:color w:val="4A6B25"/>
          <w:sz w:val="15"/>
        </w:rPr>
        <w:t xml:space="preserve">2. </w:t>
      </w:r>
      <w:r>
        <w:rPr>
          <w:rFonts w:ascii="Calibri" w:hAnsi="Calibri"/>
          <w:b w:val="0"/>
          <w:color w:val="3A4A28"/>
          <w:sz w:val="17"/>
        </w:rPr>
        <w:t>iBio corporate website and SEC filings — AI platform description (StableHu, EngageTx, ShieldTx, AI epitope steering), pipeline overview, April 2026</w:t>
      </w:r>
    </w:p>
    <w:p>
      <w:pPr>
        <w:spacing w:before="20" w:after="20"/>
        <w:ind w:left="170"/>
      </w:pPr>
      <w:r>
        <w:rPr>
          <w:rFonts w:ascii="Calibri" w:hAnsi="Calibri"/>
          <w:b/>
          <w:color w:val="4A6B25"/>
          <w:sz w:val="15"/>
        </w:rPr>
        <w:t xml:space="preserve">3. </w:t>
      </w:r>
      <w:r>
        <w:rPr>
          <w:rFonts w:ascii="Calibri" w:hAnsi="Calibri"/>
          <w:b w:val="0"/>
          <w:color w:val="3A4A28"/>
          <w:sz w:val="17"/>
        </w:rPr>
        <w:t>iBio Glassdoor reviews and CEO Martin Brenner leadership profile,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IBIO,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