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IBM</w:t>
      </w:r>
      <w:r>
        <w:rPr>
          <w:rFonts w:ascii="Calibri" w:hAnsi="Calibri"/>
          <w:b/>
          <w:color w:val="1A2010"/>
          <w:sz w:val="40"/>
        </w:rPr>
        <w:t xml:space="preserve">  International Business Machines Corporation</w:t>
      </w:r>
    </w:p>
    <w:p>
      <w:pPr>
        <w:spacing w:after="120"/>
      </w:pPr>
      <w:r>
        <w:rPr>
          <w:rFonts w:ascii="Calibri" w:hAnsi="Calibri"/>
          <w:b/>
          <w:color w:val="6E8450"/>
          <w:sz w:val="18"/>
        </w:rPr>
        <w:t>DIVIDEND SLEEVE · 2026-03-31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International Business Machines Corporation provides integrated solutions and services worldwide through its Software, Consulting, Infrastructure, and Financing segments. The company offers hybrid cloud and AI platforms, consulting services for digital transformation, on-premises and cloud-based infrastructure, and client financing solutions.</w:t>
      </w:r>
    </w:p>
    <w:p>
      <w:r>
        <w:rPr>
          <w:rFonts w:ascii="Calibri" w:hAnsi="Calibri"/>
          <w:b/>
          <w:color w:val="6E8450"/>
          <w:sz w:val="18"/>
        </w:rPr>
        <w:t>264,300 Employees · https://www.ibm.com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IBM's generative AI book of business surpassed $12.5 billion, and its watsonx platform has become a credible enterprise AI offering alongside competitors [1]. The company's R&amp;D heritage remains strong with continued investment in quantum computing and hybrid cloud, though it trails hyperscalers in pure cloud market share [2]. Software now represents 45% of revenue (up from 25% in 2018), reflecting a successful multi-year pivot toward higher-margin, recurring-revenue businesses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Arvind Krishna has driven a genuine cultural transformation, setting a challenge to become 'the most productive company in the world' and delivering over $3.5 billion in productivity savings against an initial $2.5 billion target [4]. IBM's Sustainability Accelerator provides pro bono AI and cloud resources to vulnerable communities worldwide [6]. However, Glassdoor sentiment is mixed with concerns about ongoing restructuring and layoffs dampening morale despite leadership's vision for reinvention.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IBM generated $14.7 billion in free cash flow in 2025 (highest in over a decade) with revenue growing 8% for the full year and Q4 revenue surging 12% to $19.7 billion [1][3]. Forward P/E of 17.7 is reasonable for a technology company, and ROE of 35.2% is strong, though debt-to-equity of 197% reflects acquisition-driven leverage [1]. Profit margins of 15.7% are improving with the shift toward software but remain below top-tier tech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IBM demonstrates several hallmarks of infinite-minded play, including its willingness to spin off Kyndryl and fundamentally restructure its business model for long-term relevance, though execution speed and cultural transformation remain works in progress [4].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IBM's stated purpose of applying technology to solve society's toughest problems has historical depth dating to the 1960s mainframe era, and its Sustainability Accelerator program provides tangible evidence of mission beyond profit [6]. The hybrid cloud and AI transformation reflects a clear long-term vision, though the cause could be more distinctly articulated beyond generic technology-for-good messaging.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IBM invested in employee empowerment through its transformation, establishing cross-functional teams and radical transparency initiatives, with a 47% reduction in time-to-fill positions through AI-enabled HR [4]. However, ongoing workforce restructuring and headcount reductions create tension with the trust-building narrative, and Glassdoor reviews reflect mixed employee sentiment about job security.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IBM openly acknowledges competition from hyperscalers (AWS, Azure, GCP) and maintains strategic partnerships with Amazon, Microsoft, Oracle, Salesforce, and SAP rather than attempting to defeat them, demonstrating a collaborative rather than zero-sum approach to the market [2]. The Kyndryl spin-off itself was an acknowledgment that competing in managed infrastructure services required a different model.</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2020 decision to spin off Kyndryl and the multi-year pivot from hardware/services to software/AI represents one of the most significant corporate reinventions in recent history [4]. Software now comprises 45% of revenue versus 25% in 2018, and IBM has demonstrated willingness to cannibalize legacy revenue streams for long-term positioning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Krishna's leadership in setting aggressive productivity targets and restructuring IBM around hybrid cloud and AI shows meaningful courage, delivering $3.5 billion in savings against $2.5 billion targets [4]. However, IBM has at times followed rather than led in AI (arriving after OpenAI's ChatGPT moment) and its enterprise positioning is more pragmatic than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IBM has successfully transformed from a declining legacy IT services company into a hybrid cloud and AI platform business, with software now representing 45% of revenue and growing at double digits. The $12.5 billion generative AI book of business validates IBM's enterprise AI strategy, and free cash flow of $14.7 billion provides strong capital return capacity [1].</w:t>
      </w:r>
    </w:p>
    <w:p>
      <w:pPr>
        <w:spacing w:after="120"/>
      </w:pPr>
      <w:r>
        <w:rPr>
          <w:rFonts w:ascii="Calibri" w:hAnsi="Calibri"/>
          <w:b w:val="0"/>
          <w:color w:val="3A4A28"/>
          <w:sz w:val="20"/>
        </w:rPr>
        <w:t>Key risks center on IBM's elevated debt load (D/E of 197%), modest dividend growth history, and execution risk in competing against better-resourced hyperscalers. The company's 2026 guidance of 5%+ constant currency revenue growth and $15.7 billion in free cash flow suggests steady but not explosive growth, supporting a HOLD recommendation at current valuations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book of business expanding beyond $12.5B as enterprise AI adoption accelerates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Software segment targeting 10% growth in 2026 with expanding margins as recurring revenue scales [3]</w:t>
      </w:r>
    </w:p>
    <w:p>
      <w:pPr>
        <w:spacing w:before="40" w:after="40"/>
        <w:ind w:left="283"/>
      </w:pPr>
      <w:r>
        <w:rPr>
          <w:rFonts w:ascii="Calibri" w:hAnsi="Calibri"/>
          <w:b/>
          <w:color w:val="4A6B25"/>
          <w:sz w:val="20"/>
        </w:rPr>
        <w:t xml:space="preserve">3. </w:t>
      </w:r>
      <w:r>
        <w:rPr>
          <w:rFonts w:ascii="Calibri" w:hAnsi="Calibri"/>
          <w:b w:val="0"/>
          <w:color w:val="3A4A28"/>
          <w:sz w:val="20"/>
        </w:rPr>
        <w:t>Productivity savings program targeting $5.5B annual run-rate by end of 2026, driving operating margin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197% limits financial flexibility and could pressure credit ratings if growth stalls [1]</w:t>
      </w:r>
    </w:p>
    <w:p>
      <w:pPr>
        <w:spacing w:before="40" w:after="40"/>
        <w:ind w:left="283"/>
      </w:pPr>
      <w:r>
        <w:rPr>
          <w:rFonts w:ascii="Calibri" w:hAnsi="Calibri"/>
          <w:b/>
          <w:color w:val="4A6B25"/>
          <w:sz w:val="20"/>
        </w:rPr>
        <w:t xml:space="preserve">2. </w:t>
      </w:r>
      <w:r>
        <w:rPr>
          <w:rFonts w:ascii="Calibri" w:hAnsi="Calibri"/>
          <w:b w:val="0"/>
          <w:color w:val="3A4A28"/>
          <w:sz w:val="20"/>
        </w:rPr>
        <w:t>Hyperscaler competition from AWS, Azure, and GCP could erode IBM's hybrid cloud differentiation over time [2]</w:t>
      </w:r>
    </w:p>
    <w:p>
      <w:pPr>
        <w:spacing w:before="40" w:after="40"/>
        <w:ind w:left="283"/>
      </w:pPr>
      <w:r>
        <w:rPr>
          <w:rFonts w:ascii="Calibri" w:hAnsi="Calibri"/>
          <w:b/>
          <w:color w:val="4A6B25"/>
          <w:sz w:val="20"/>
        </w:rPr>
        <w:t xml:space="preserve">3. </w:t>
      </w:r>
      <w:r>
        <w:rPr>
          <w:rFonts w:ascii="Calibri" w:hAnsi="Calibri"/>
          <w:b w:val="0"/>
          <w:color w:val="3A4A28"/>
          <w:sz w:val="20"/>
        </w:rPr>
        <w:t>Dividend growth has been negligible in recent years despite the high payout ratio of 60%, reducing income appeal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IBM is a direct beneficiary of enterprise AI adoption, with its watsonx platform, consulting services, and hybrid cloud infrastructure positioning it as an AI enabler rather than a target of disruption [4]. The company's $12.5 billion generative AI book of business demonstrates real commercial traction, and its consulting arm helps enterprises implement AI transformations [1]. AI Risk Protection scores high (8/9) as IBM's business model becomes more valuable as AI adoption accelerates; the AI Opportunity tiebreaker adds 1 point given IBM's proprietary foundation models and enterprise-grade AI tooling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IBM Q4 2025 Earnings Release, January 28, 2026 — newsroom.ibm.com</w:t>
      </w:r>
    </w:p>
    <w:p>
      <w:pPr>
        <w:spacing w:before="20" w:after="20"/>
        <w:ind w:left="170"/>
      </w:pPr>
      <w:r>
        <w:rPr>
          <w:rFonts w:ascii="Calibri" w:hAnsi="Calibri"/>
          <w:b/>
          <w:color w:val="4A6B25"/>
          <w:sz w:val="15"/>
        </w:rPr>
        <w:t xml:space="preserve">2. </w:t>
      </w:r>
      <w:r>
        <w:rPr>
          <w:rFonts w:ascii="Calibri" w:hAnsi="Calibri"/>
          <w:b w:val="0"/>
          <w:color w:val="3A4A28"/>
          <w:sz w:val="17"/>
        </w:rPr>
        <w:t>Yahoo Finance — IBM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IBM 2026 Full-Year Guidance, January 2026 Earnings Call</w:t>
      </w:r>
    </w:p>
    <w:p>
      <w:pPr>
        <w:spacing w:before="20" w:after="20"/>
        <w:ind w:left="170"/>
      </w:pPr>
      <w:r>
        <w:rPr>
          <w:rFonts w:ascii="Calibri" w:hAnsi="Calibri"/>
          <w:b/>
          <w:color w:val="4A6B25"/>
          <w:sz w:val="15"/>
        </w:rPr>
        <w:t xml:space="preserve">4. </w:t>
      </w:r>
      <w:r>
        <w:rPr>
          <w:rFonts w:ascii="Calibri" w:hAnsi="Calibri"/>
          <w:b w:val="0"/>
          <w:color w:val="3A4A28"/>
          <w:sz w:val="17"/>
        </w:rPr>
        <w:t>Newsweek — 'How IBM Reinvented Itself With AI', 2025</w:t>
      </w:r>
    </w:p>
    <w:p>
      <w:pPr>
        <w:spacing w:before="20" w:after="20"/>
        <w:ind w:left="170"/>
      </w:pPr>
      <w:r>
        <w:rPr>
          <w:rFonts w:ascii="Calibri" w:hAnsi="Calibri"/>
          <w:b/>
          <w:color w:val="4A6B25"/>
          <w:sz w:val="15"/>
        </w:rPr>
        <w:t xml:space="preserve">5. </w:t>
      </w:r>
      <w:r>
        <w:rPr>
          <w:rFonts w:ascii="Calibri" w:hAnsi="Calibri"/>
          <w:b w:val="0"/>
          <w:color w:val="3A4A28"/>
          <w:sz w:val="17"/>
        </w:rPr>
        <w:t>IBM 2025 CEO Study — newsroom.ibm.com, May 2025</w:t>
      </w:r>
    </w:p>
    <w:p>
      <w:pPr>
        <w:spacing w:before="20" w:after="20"/>
        <w:ind w:left="170"/>
      </w:pPr>
      <w:r>
        <w:rPr>
          <w:rFonts w:ascii="Calibri" w:hAnsi="Calibri"/>
          <w:b/>
          <w:color w:val="4A6B25"/>
          <w:sz w:val="15"/>
        </w:rPr>
        <w:t xml:space="preserve">6. </w:t>
      </w:r>
      <w:r>
        <w:rPr>
          <w:rFonts w:ascii="Calibri" w:hAnsi="Calibri"/>
          <w:b w:val="0"/>
          <w:color w:val="3A4A28"/>
          <w:sz w:val="17"/>
        </w:rPr>
        <w:t>IBM ESG Report and Sustainability Accelerator Program — ibm.com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