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IBN</w:t>
      </w:r>
      <w:r>
        <w:rPr>
          <w:rFonts w:ascii="Calibri" w:hAnsi="Calibri"/>
          <w:b/>
          <w:color w:val="1A2010"/>
          <w:sz w:val="40"/>
        </w:rPr>
        <w:t xml:space="preserve">  ICICI Bank Limited</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India</w:t>
      </w:r>
    </w:p>
    <w:p>
      <w:pPr>
        <w:spacing w:after="80"/>
      </w:pPr>
      <w:r>
        <w:rPr>
          <w:rFonts w:ascii="Calibri" w:hAnsi="Calibri"/>
          <w:b w:val="0"/>
          <w:color w:val="3A4A28"/>
          <w:sz w:val="20"/>
        </w:rPr>
        <w:t>ICICI Bank is India's second-largest private sector bank by assets ($306.4B), providing retail banking, wholesale banking, treasury, life insurance, general insurance, and asset management services. The bank serves customers through a vast network of branches, ATMs, and digital platforms, with a strong focus on AI-driven digital transformation under its 'Bank to Bank^Tech' strategy.</w:t>
      </w:r>
    </w:p>
    <w:p>
      <w:r>
        <w:rPr>
          <w:rFonts w:ascii="Calibri" w:hAnsi="Calibri"/>
          <w:b/>
          <w:color w:val="6E8450"/>
          <w:sz w:val="18"/>
        </w:rPr>
        <w:t>182,665 Employees · https://www.icici.bank.in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ICICI Bank has transformed from a traditional Indian bank into a technology-forward institution under CEO Bakhshi's leadership since 2018, growing consolidated assets to $306.4B (8.8% YoY) while improving gross NPA ratio from over 8% to 1.53% — a remarkable multi-year turnaround [1][2]. Domestic loans grew 11.5% YoY in Q3 FY2026. AI Deployment (2/2): The iPal AI chatbot handles millions of customer interactions annually, AI supports credit underwriting using non-traditional data points, and robotic process automation (RPA) streamlines everything from account opening to compliance monitoring [2]. The bank has built dedicated internal AI and Data Science academies creating a 'bilingual' workforce fluent in both banking and technology. Market Share (2/2): ICICI Bank is India's #2 private sector bank by assets and a clear digital leader — its 'Bank to Bank^Tech' transformation has given it a structural technology advantage that analysts describe as widening the competitive gap with slower peers [2]. Pipeline (1/2): Continued digital platform expansion, AI-driven credit expansion into underserved segments, and growing insurance/asset management businesses provide visible growth vectors, though no specific transformative new product was identified [1][2]. R&amp;D Intensity (1/1): ICICI Bank's proactive escalation in IT and cybersecurity spending — undertaken ahead of regulatory mandates — places it in the top tier of Indian banks for technology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ICICI Bank's 'One Bank, One Team, One Goal' philosophy under Bakhshi represents a specific and thoughtful organizational purpose focused on collaborative, customer-centric banking that has been validated by the successful cultural transformation and financial turnaround since 2018 [2]. Community Impact (2/2): ICICI Foundation and ICICI Academy for Skill Development provide vocational training to underprivileged youth through Rural Self Employment Training Institutes. The bank explicitly focuses on 'promoting inclusive growth through programs to empower underprivileged Indians' with measurable social impact [3]. Employee Retention (1/2): Bakhshi's cultural transformation — removing hierarchy, empowering team decision-making, replacing rigid titles with responsibility-based designations — suggests improved retention, though specific turnover data for the 182,665-employee workforce was not available [2]. Insider Buying (0/2): No evidence of meaningful insider buying found for ICICI Bank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ICICI Bank's financial profile is exceptional across nearly all metrics. ROE of 16.8% exceeds the 15% target (score 1.0, 2x weight), revenue growth 5yr CAGR of ~16.6% exceeds the 10% target (score 1.0, 2x weight), forward P/E of 14.2 is well below the 20 target (score 1.0), profit margin of 27.5% exceeds the 20% target (score 1.0), and revenue growth YoY of 3% scores 0.767 [1][4]. D/E and PEG are unavailable (excluded). CET1 ratio of 16.46% and total capital adequacy of 17.34% provide fortress-level regulatory capital [1]. Gross NPA ratio improved to 1.53% from 1.96% YoY, demonstrating asset quality strength. Growth weighting: ROE 1.0(2x) + RevYoY 0.767(1x) + Rev5yr 1.0(2x) + FwdPE 1.0(1x) + PM 1.0(1x) = 6.767/7 = 9.67 → 10. Liquidity: 6.5M × $25.30 = $164.6M — easily clears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ICICI Bank under Sandeep Bakhshi exemplifies Sinek's principles of trusting teams and courage to lead. The cultural transformation from a hierarchical, politically charged organization to 'One Bank, One Team, One Goal' — removing titles, empowering decision-making, and investing in technology ahead of competitors — represents genuine infinite game thinking. The bank plays to endure, not just to win this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ICICI Bank's 'One Bank, One Team, One Goal' philosophy under Bakhshi goes beyond a mission statement — it drove the dismantling of internal hierarchies, replacement of rigid title systems, and a cultural overhaul that transformed the bank's performance from distressed (8%+ NPAs) to industry-leading (1.53% NPAs) [2]. The purpose of democratizing financial services in India through technology-driven banking is genuine and partially lived out through ICICI Foundation and skill development programs. (2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Bakhshi's cultural transformation is Sinek's Trusting Teams in practice — breaking down symbols of hierarchy, replacing DGM/SGM titles with responsibility-based designations for 400 senior leaders, empowering managers to make decisions, and investing in internal AI academies rather than outsourcing talent [2]. The 182,665-employee organization has undergone a philosophical shift from command-and-control to empowerment that directly created the bank's turnaround.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ICICI Bank's 'Bank to Bank^Tech' positioning implicitly acknowledges that fintech companies and digital-native banks have technology advantages, and responds by learning from them rather than dismissing them as competitors. The bank's partnerships with fintech platforms and investment in its own digital capabilities show a growth mindset driven by competitive learning [2].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a traditional bank plagued by NPAs and governance scandals to a technology-forward, well-governed institution under Bakhshi represents significant organizational reinvention, though the core banking business model remains unchanged [1][2]. The 'Bank to Bank^Tech' evolution is meaningful adaptation but not a fundamental pivot of the kind Sinek most values.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Bakhshi demonstrated courage by proactively escalating IT and cybersecurity spending ahead of regulatory mandates, and by dismantling decades of organizational hierarchy at a 182,665-person institution — both costly decisions with uncertain near-term returns [2]. The aggressive NPA cleanup from 8%+ to 1.53% required taking painful write-downs and changing lending practices.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ICICI Bank is India's premier private sector bank delivering world-class financial metrics — ROE of 16.8%, profit margin of 27.5%, CET1 ratio of 16.46%, and gross NPAs at a decade-low 1.53% [1][4]. At 14.2x forward P/E, the bank is reasonably valued for a franchise that has grown earnings at 22.7% annually over 5 years and holds $306.4B in assets [1]. CEO Sandeep Bakhshi's cultural transformation and 'Bank to Bank^Tech' strategy have created a structural technology advantage — the iPal AI chatbot, AI credit underwriting, and internal AI academies position ICICI to capture India's enormous financial inclusion opportunity as the world's fastest-growing major economy [2]. Domestic loan growth of 11.5% and average deposit growth of 8.7% in Q3 FY2026 demonstrate continued franchise momentum [1]. The bank's insurance and asset management subsidiaries provide additional growth vectors beyond core banking.</w:t>
      </w:r>
    </w:p>
    <w:p>
      <w:pPr>
        <w:spacing w:after="120"/>
      </w:pPr>
      <w:r>
        <w:rPr>
          <w:rFonts w:ascii="Calibri" w:hAnsi="Calibri"/>
          <w:b w:val="0"/>
          <w:color w:val="3A4A28"/>
          <w:sz w:val="20"/>
        </w:rPr>
        <w:t>The bear case centers on moderating growth and India-specific risks. Earnings growth of 7.6% in the trailing year is well below the 22.7% 5-year average, with Q3 consolidated profit actually declining slightly YoY to INR 12,538 crore [1]. Revenue growth has slowed to 3% YoY as interest rate normalization compresses net interest margins. India exposure concentration means the bank is vulnerable to Indian economic slowdowns, rupee depreciation against the dollar (IBN ADRs trade on NYSE), and regulatory changes by the RBI. The Sustainalytics controversy level of 3 (vs. 2.4 peer average) and inconsistent environmental disclosures are governance concerns [3]. Competition from fintech platforms (Paytm, PhonePe) and digital-native banks intensifies pressure on payment and small-ticket lending margins. At $92B market cap, the stock is priced for continued excellence — any deterioration in asset quality or growth trajectory could trigger multiple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India's financial inclusion tailwind — growing middle class, rising digital payments, and expanding credit penetration provide a multi-decade growth runway for India's #2 private bank with 182,665 employees and leading digital platform [1][2]</w:t>
      </w:r>
    </w:p>
    <w:p>
      <w:pPr>
        <w:spacing w:before="40" w:after="40"/>
        <w:ind w:left="283"/>
      </w:pPr>
      <w:r>
        <w:rPr>
          <w:rFonts w:ascii="Calibri" w:hAnsi="Calibri"/>
          <w:b/>
          <w:color w:val="4A6B25"/>
          <w:sz w:val="20"/>
        </w:rPr>
        <w:t xml:space="preserve">2. </w:t>
      </w:r>
      <w:r>
        <w:rPr>
          <w:rFonts w:ascii="Calibri" w:hAnsi="Calibri"/>
          <w:b w:val="0"/>
          <w:color w:val="3A4A28"/>
          <w:sz w:val="20"/>
        </w:rPr>
        <w:t>Continued AI-driven efficiency gains through iPal chatbot, AI credit underwriting, and RPA automation — creating a cost advantage flywheel that widens the gap with technology-lagging competitors [2]</w:t>
      </w:r>
    </w:p>
    <w:p>
      <w:pPr>
        <w:spacing w:before="40" w:after="40"/>
        <w:ind w:left="283"/>
      </w:pPr>
      <w:r>
        <w:rPr>
          <w:rFonts w:ascii="Calibri" w:hAnsi="Calibri"/>
          <w:b/>
          <w:color w:val="4A6B25"/>
          <w:sz w:val="20"/>
        </w:rPr>
        <w:t xml:space="preserve">3. </w:t>
      </w:r>
      <w:r>
        <w:rPr>
          <w:rFonts w:ascii="Calibri" w:hAnsi="Calibri"/>
          <w:b w:val="0"/>
          <w:color w:val="3A4A28"/>
          <w:sz w:val="20"/>
        </w:rPr>
        <w:t>Asset quality improvement trajectory with gross NPAs at 1.53% (down from 1.96% YoY) releasing provisions that flow directly to bottom-line 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growth moderation from 22.7% 5-year average to 7.6% trailing year — net interest margin compression and base effect normalization could disappoint investors expecting continued high growth [1]</w:t>
      </w:r>
    </w:p>
    <w:p>
      <w:pPr>
        <w:spacing w:before="40" w:after="40"/>
        <w:ind w:left="283"/>
      </w:pPr>
      <w:r>
        <w:rPr>
          <w:rFonts w:ascii="Calibri" w:hAnsi="Calibri"/>
          <w:b/>
          <w:color w:val="4A6B25"/>
          <w:sz w:val="20"/>
        </w:rPr>
        <w:t xml:space="preserve">2. </w:t>
      </w:r>
      <w:r>
        <w:rPr>
          <w:rFonts w:ascii="Calibri" w:hAnsi="Calibri"/>
          <w:b w:val="0"/>
          <w:color w:val="3A4A28"/>
          <w:sz w:val="20"/>
        </w:rPr>
        <w:t>India concentration risk — 100% of operations in India exposes the bank to domestic economic cycles, RBI regulatory changes, and rupee depreciation that erodes USD-denominated ADR returns [4]</w:t>
      </w:r>
    </w:p>
    <w:p>
      <w:pPr>
        <w:spacing w:before="40" w:after="40"/>
        <w:ind w:left="283"/>
      </w:pPr>
      <w:r>
        <w:rPr>
          <w:rFonts w:ascii="Calibri" w:hAnsi="Calibri"/>
          <w:b/>
          <w:color w:val="4A6B25"/>
          <w:sz w:val="20"/>
        </w:rPr>
        <w:t xml:space="preserve">3. </w:t>
      </w:r>
      <w:r>
        <w:rPr>
          <w:rFonts w:ascii="Calibri" w:hAnsi="Calibri"/>
          <w:b w:val="0"/>
          <w:color w:val="3A4A28"/>
          <w:sz w:val="20"/>
        </w:rPr>
        <w:t>Fintech competition from Paytm, PhonePe, Google Pay, and digital lending startups using AI to compete for payments, small-ticket loans, and younger customers — potentially compressing margins in the bank's fastest-growing segments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a regulated, relationship-intensive industry where AI enhances rather than displaces the core business. ICICI Bank's physical branch network, regulatory moats (banking licenses, capital requirements), and customer switching costs provide strong defensive barriers against AI-native fintech challengers [2]. However, UPI and fintech platforms (Paytm, PhonePe, Google Pay) are using AI to compete for payments and lending, creating exposure in specific product lines. The bank's proactive AI adoption mitigates this risk but the threat is real. AI Opportunity (1/1): ICICI Bank generates meaningful AI-driven revenue — the iPal chatbot handles millions of interactions, AI credit underwriting enables lending to previously unserved segments, and RPA processes millions of transactions annually, all contributing to the bank's 27.5% profit margin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ICICI Bank Q3 FY2026 Performance Review — INR 21,932 crore NII (7.7% YoY), domestic loans up 11.5%, gross NPA 1.53%, CET1 16.46%, January 2026</w:t>
      </w:r>
    </w:p>
    <w:p>
      <w:pPr>
        <w:spacing w:before="20" w:after="20"/>
        <w:ind w:left="170"/>
      </w:pPr>
      <w:r>
        <w:rPr>
          <w:rFonts w:ascii="Calibri" w:hAnsi="Calibri"/>
          <w:b/>
          <w:color w:val="4A6B25"/>
          <w:sz w:val="15"/>
        </w:rPr>
        <w:t xml:space="preserve">2. </w:t>
      </w:r>
      <w:r>
        <w:rPr>
          <w:rFonts w:ascii="Calibri" w:hAnsi="Calibri"/>
          <w:b w:val="0"/>
          <w:color w:val="3A4A28"/>
          <w:sz w:val="17"/>
        </w:rPr>
        <w:t>ICICI Bank AI strategy and leadership — CEO Sandeep Bakhshi, iPal chatbot, Bank to Bank^Tech transformation, internal AI academies, cultural overhaul, 2018-2026</w:t>
      </w:r>
    </w:p>
    <w:p>
      <w:pPr>
        <w:spacing w:before="20" w:after="20"/>
        <w:ind w:left="170"/>
      </w:pPr>
      <w:r>
        <w:rPr>
          <w:rFonts w:ascii="Calibri" w:hAnsi="Calibri"/>
          <w:b/>
          <w:color w:val="4A6B25"/>
          <w:sz w:val="15"/>
        </w:rPr>
        <w:t xml:space="preserve">3. </w:t>
      </w:r>
      <w:r>
        <w:rPr>
          <w:rFonts w:ascii="Calibri" w:hAnsi="Calibri"/>
          <w:b w:val="0"/>
          <w:color w:val="3A4A28"/>
          <w:sz w:val="17"/>
        </w:rPr>
        <w:t>ICICI Bank ESG profile — Sustainalytics controversy level 3, carbon neutral by FY2032 target, ICICI Foundation skill development programs, inconsistent environmental disclosures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IBN (ICICI Bank),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