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IBO</w:t>
      </w:r>
      <w:r>
        <w:rPr>
          <w:rFonts w:ascii="Calibri" w:hAnsi="Calibri"/>
          <w:b/>
          <w:color w:val="1A2010"/>
          <w:sz w:val="40"/>
        </w:rPr>
        <w:t xml:space="preserve">  Impact BioMedical Inc.</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Impact BioMedical Inc. discovers, develops, and commercializes products and technologies for human healthcare and wellness. The company's platforms include Linebacker (oncology/neurology polyphenol compounds), Equivir (antiviral blend), Laetose (sugar alternative), and 3F functional fragrance. A subsidiary of DSS BioHealth Security, the company is pursuing a reverse merger with Dr. Ashleys Limited.</w:t>
      </w:r>
    </w:p>
    <w:p>
      <w:r>
        <w:rPr>
          <w:rFonts w:ascii="Calibri" w:hAnsi="Calibri"/>
          <w:b/>
          <w:color w:val="6E8450"/>
          <w:sz w:val="18"/>
        </w:rPr>
        <w:t>2 Employees · https://www.impactbiomedinc.com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Impact BioMedical has not launched any commercial products in the last 5 years — Linebacker remains in pre-clinical oncology studies, Equivir is still in development for health supplement launch, and Celios air purification generated only $32K in total revenue for FY2025 [1][2]. No meaningful market pivots or business model transformations have occurred. AI Deployment (1/2): The company utilizes advanced computational molecular docking models for drug discovery, with in vitro results confirming that Linebacker and Equivir compounds bind with high affinity to SARS-CoV-2 targets — this represents genuine AI-adjacent computational biology but no shipped AI products [3]. Market Share (0/2): Zero meaningful market share in any commercial category — total revenue of $32K represents de minimis commercial activity. Pipeline (1/2): Four distinct technology platforms (Linebacker, Equivir, Laetose, 3F) with 69 issued patents and 60+ pending patents represent genuine intellectual property, but no products have specific commercial launch dates or FDA pathway visibility [3]. R&amp;D Intensity (0/1): While the company is R&amp;D-focused by nature, the $3.1M EBITDA loss on $32K revenue reflects pre-commercial spending rather than structured R&amp;D intensity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Impact BioMedical's stated purpose of addressing 'unmet needs in human healthcare and wellness' is generic and interchangeable with any biotech company — there is no distinctive vision or articulated cause beyond standard corporate language [1]. Community Impact (0/2): No evidence of charitable programs, foundation, or community investment. The company has only 2 employees and minimal operational footprint. Employee Retention (0/2): With only 2 full-time employees, retention metrics are not meaningful. Insider Buying (0/2): Insiders hold 86.7% of shares, primarily through parent DSS BioHealth Security, but this represents corporate ownership structure rather than conviction-driven open-market purchases — no evidence of executive open-market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severely limited metrics. The company has zero total debt, which scores perfectly on D/E, but this is the only positive metric [4]. ROE is deeply negative at -104.2% (net loss of $11.8M against shareholder equity), profit margin is effectively 0% on $32K of total revenue, and no growth or valuation metrics are calculable. Management has disclosed substantial doubt about the company's ability to continue as a going concern — total cash is only $3K with $1.9M in annual operating cash burn [2][4]. The pending reverse merger with Dr. Ashleys Limited adds corporate complexity and dilution risk. Current ratio of 0.35 signals imminent liquidity crisis without parent DSS support or successful completion of the Dr. Ashleys transaction.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Impact BioMedical exhibits a fundamentally finite mindset — the company is focused on survival (going concern doubt), pending corporate transactions (Dr. Ashleys merger), and IP monetization rather than building an enduring enterprise. With 2 employees and $3K in cash, organizational longevity is in question.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Impact BioMedical's purpose of addressing 'unmet needs in human healthcare' is boilerplate that does not guide strategic decisions [1]. The company's actual behavior — pursuing a reverse merger with Dr. Ashleys, converting DSS parent debt to equity, and maintaining going concern disclosures — reflects a corporate vehicle seeking survival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 full-time employees and a leadership team installed in September 2024, there is no meaningful organizational culture to evaluate [1][4]. CEO Frank Heuszel's compensation of $302K and COO Mark Suseck's $294K on $32K total revenue raises questions about executive-employee alignment. The pending merger with Dr. Ashleys and DSS parent relationship create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Impact BioMedical acknowledging competitors' strengths or learning from rival drug discovery platforms. The company's communications focus exclusively on its own IP portfolio without reference to the competitive landscape in polyphenol therapeutics or antiviral development.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pending reverse merger with Dr. Ashleys Limited represents a corporate restructuring driven by financial necessity rather than strategic vision [2]. The company has not demonstrated ability to pivot — its four technology platforms (Linebacker, Equivir, Laetose, 3F) remain at the same pre-commercial stage they were at years ago. No evidence of strategic adaptation in response to changing market conditions.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company's trajectory — IPO in September 2024 raising only $4.5M, subsequent share price decline from $6.17 to $0.60 (90% loss), going concern doubt, and pursuit of a reverse merger — reflects reactive financial management rather than courageous strategic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Impact BioMedical's bull case rests entirely on the option value of its intellectual property portfolio — 69 issued patents and 60+ pending across four platforms (Linebacker oncology/neurology, Equivir antivirals, Laetose sugar alternative, 3F functional fragrance) [3]. Linebacker's pre-clinical data showing efficacy against multiple cancer types and pathogens, combined with Equivir's broad antiviral profile, could represent significant value if any platform advances to clinical trials. The 86.7% insider ownership (via parent DSS) means the float is small, and any positive clinical news could create outsized price movement. The pending Dr. Ashleys merger could bring additional assets and capital to support development.</w:t>
      </w:r>
    </w:p>
    <w:p>
      <w:pPr>
        <w:spacing w:after="120"/>
      </w:pPr>
      <w:r>
        <w:rPr>
          <w:rFonts w:ascii="Calibri" w:hAnsi="Calibri"/>
          <w:b w:val="0"/>
          <w:color w:val="3A4A28"/>
          <w:sz w:val="20"/>
        </w:rPr>
        <w:t>The bear case is overwhelming. Impact BioMedical has $3K in cash, $32K in annual revenue, 2 employees, and management has disclosed substantial doubt about its ability to continue as a going concern [2][4]. The company has lost $11.8M in the last year on essentially zero revenue, funded primarily through parent DSS support and debt conversions. The stock has fallen 90% from its IPO-era high of $6.17 to $0.60. No technology platforms have advanced to clinical trials after years of development, and the Linebacker oncology pre-clinical studies projected for 2025 have not produced publicly disclosed results. The reverse merger with Dr. Ashleys adds corporate complexity, dilution risk, and strategic uncertainty. DSS parent's own financial challenges (D/E of 3.14x) raise questions about continued funding support. This is a speculative micro-cap with fundamental going concern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Linebacker pre-clinical oncology results (solid tumors — lung, colon) could validate the platform and attract pharma partnership interest, enabling IND filing discussions [3]</w:t>
      </w:r>
    </w:p>
    <w:p>
      <w:pPr>
        <w:spacing w:before="40" w:after="40"/>
        <w:ind w:left="283"/>
      </w:pPr>
      <w:r>
        <w:rPr>
          <w:rFonts w:ascii="Calibri" w:hAnsi="Calibri"/>
          <w:b/>
          <w:color w:val="4A6B25"/>
          <w:sz w:val="20"/>
        </w:rPr>
        <w:t xml:space="preserve">2. </w:t>
      </w:r>
      <w:r>
        <w:rPr>
          <w:rFonts w:ascii="Calibri" w:hAnsi="Calibri"/>
          <w:b w:val="0"/>
          <w:color w:val="3A4A28"/>
          <w:sz w:val="20"/>
        </w:rPr>
        <w:t>Completion of the Dr. Ashleys Limited reverse merger could bring additional capital, assets, and a refreshed corporate structure to support development programs [2]</w:t>
      </w:r>
    </w:p>
    <w:p>
      <w:pPr>
        <w:spacing w:before="40" w:after="40"/>
        <w:ind w:left="283"/>
      </w:pPr>
      <w:r>
        <w:rPr>
          <w:rFonts w:ascii="Calibri" w:hAnsi="Calibri"/>
          <w:b/>
          <w:color w:val="4A6B25"/>
          <w:sz w:val="20"/>
        </w:rPr>
        <w:t xml:space="preserve">3. </w:t>
      </w:r>
      <w:r>
        <w:rPr>
          <w:rFonts w:ascii="Calibri" w:hAnsi="Calibri"/>
          <w:b w:val="0"/>
          <w:color w:val="3A4A28"/>
          <w:sz w:val="20"/>
        </w:rPr>
        <w:t>Equivir commercial launch as an over-the-counter health supplement could generate first meaningful revenue from the company's antiviral polyphenol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with only $3K cash, $32K annual revenue, and $1.9M operating cash burn — the company cannot survive without continued DSS parent support or successful completion of the Dr. Ashleys transaction [2][4]</w:t>
      </w:r>
    </w:p>
    <w:p>
      <w:pPr>
        <w:spacing w:before="40" w:after="40"/>
        <w:ind w:left="283"/>
      </w:pPr>
      <w:r>
        <w:rPr>
          <w:rFonts w:ascii="Calibri" w:hAnsi="Calibri"/>
          <w:b/>
          <w:color w:val="4A6B25"/>
          <w:sz w:val="20"/>
        </w:rPr>
        <w:t xml:space="preserve">2. </w:t>
      </w:r>
      <w:r>
        <w:rPr>
          <w:rFonts w:ascii="Calibri" w:hAnsi="Calibri"/>
          <w:b w:val="0"/>
          <w:color w:val="3A4A28"/>
          <w:sz w:val="20"/>
        </w:rPr>
        <w:t>Zero clinical-stage assets after years of development — all four platforms remain pre-commercial with no FDA pathway visibility, IND filings, or clinical trial timelines</w:t>
      </w:r>
    </w:p>
    <w:p>
      <w:pPr>
        <w:spacing w:before="40" w:after="40"/>
        <w:ind w:left="283"/>
      </w:pPr>
      <w:r>
        <w:rPr>
          <w:rFonts w:ascii="Calibri" w:hAnsi="Calibri"/>
          <w:b/>
          <w:color w:val="4A6B25"/>
          <w:sz w:val="20"/>
        </w:rPr>
        <w:t xml:space="preserve">3. </w:t>
      </w:r>
      <w:r>
        <w:rPr>
          <w:rFonts w:ascii="Calibri" w:hAnsi="Calibri"/>
          <w:b w:val="0"/>
          <w:color w:val="3A4A28"/>
          <w:sz w:val="20"/>
        </w:rPr>
        <w:t>90% share price decline from IPO-era highs and pending reverse merger create dilution risk and corporate uncertainty that may prevent institutional capital 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Impact BioMedical's drug discovery platforms (Linebacker, Equivir) involve proprietary polyphenol chemistry and patented formulations that AI cannot directly substitute — the physical compounds and their biological interactions require wet lab validation regardless of computational advances [3]. However, AI is rapidly transforming drug discovery (AlphaFold, generative chemistry), which could enable well-funded competitors to discover superior compounds faster and cheaper, eroding the value of Impact BioMedical's IP before it reaches commercialization. For a pre-revenue biotech with no clinical-stage assets, AI-accelerated competition from larger pharma companies is a meaningful threat. AI Opportunity (0/1): No AI-derived revenue. The company's computational molecular docking work is a research tool, not a revenue-generating product or service.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Impact BioMedical Corporate Website — Company Overview, Technology Platforms,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Impact BioMedical FY2025 10-K Annual Report — Financial Statements, Going Concern Disclosure, March 2026</w:t>
      </w:r>
    </w:p>
    <w:p>
      <w:pPr>
        <w:spacing w:before="20" w:after="20"/>
        <w:ind w:left="170"/>
      </w:pPr>
      <w:r>
        <w:rPr>
          <w:rFonts w:ascii="Calibri" w:hAnsi="Calibri"/>
          <w:b/>
          <w:color w:val="4A6B25"/>
          <w:sz w:val="15"/>
        </w:rPr>
        <w:t xml:space="preserve">3. </w:t>
      </w:r>
      <w:r>
        <w:rPr>
          <w:rFonts w:ascii="Calibri" w:hAnsi="Calibri"/>
          <w:b w:val="0"/>
          <w:color w:val="3A4A28"/>
          <w:sz w:val="17"/>
        </w:rPr>
        <w:t>Impact BioMedical Shareholder Letter — Technology Platform Updates, November 2024</w:t>
      </w:r>
    </w:p>
    <w:p>
      <w:pPr>
        <w:spacing w:before="20" w:after="20"/>
        <w:ind w:left="170"/>
      </w:pPr>
      <w:r>
        <w:rPr>
          <w:rFonts w:ascii="Calibri" w:hAnsi="Calibri"/>
          <w:b/>
          <w:color w:val="4A6B25"/>
          <w:sz w:val="15"/>
        </w:rPr>
        <w:t xml:space="preserve">4. </w:t>
      </w:r>
      <w:r>
        <w:rPr>
          <w:rFonts w:ascii="Calibri" w:hAnsi="Calibri"/>
          <w:b w:val="0"/>
          <w:color w:val="3A4A28"/>
          <w:sz w:val="17"/>
        </w:rPr>
        <w:t>yfinance data for IBO retrieved April 2026 — financial metrics, insider holdings, price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