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IBRX</w:t>
      </w:r>
      <w:r>
        <w:rPr>
          <w:rFonts w:ascii="Calibri" w:hAnsi="Calibri"/>
          <w:b/>
          <w:color w:val="1A2010"/>
          <w:sz w:val="40"/>
        </w:rPr>
        <w:t xml:space="preserve">  ImmunityBio, Inc.</w:t>
      </w:r>
    </w:p>
    <w:p>
      <w:pPr>
        <w:spacing w:after="120"/>
      </w:pPr>
      <w:r>
        <w:rPr>
          <w:rFonts w:ascii="Calibri" w:hAnsi="Calibri"/>
          <w:b/>
          <w:color w:val="6E8450"/>
          <w:sz w:val="18"/>
        </w:rPr>
        <w:t>GROWTH SLEEVE · 2026-03-23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ImmunityBio is a biotechnology company developing next-generation immunotherapies, anchored by ANKTIVA (N-803), an IL-15 superagonist approved for bladder cancer. The company reported ~$113 million in 2025 ANKTIVA revenue (700% YoY growth) and has expanded to 33 countries within two years of its first FDA approval.</w:t>
      </w:r>
    </w:p>
    <w:p>
      <w:r>
        <w:rPr>
          <w:rFonts w:ascii="Calibri" w:hAnsi="Calibri"/>
          <w:b/>
          <w:color w:val="6E8450"/>
          <w:sz w:val="18"/>
        </w:rPr>
        <w:t>684 Employees · https://immunitybio.com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ANKTIVA's IL-15 receptor superagonist platform represents genuine immunotherapy innovation — the fastest international expansion for a bladder cancer immunotherapy, reaching 33 countries within two years of FDA approval [1]. Revenue surged 700% YoY to ~$113 million in 2025, validating commercial traction. The Saudi FDA granted accelerated approval for ANKTIVA in metastatic NSCLC (first subcutaneous IL-15 superagonist approved globally for lung cancer), and NCCN guidelines now include ANKTIVA for papillary bladder cancer [1]. Pipeline expansion into BCG-naive NMIBC with enrollment ahead of schedule demonstrates R&amp;D momentum.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ImmunityBio's mission of harnessing the immune system to fight cancer is inherently inspiring and patient-centric. The company's 684 employees are driving a therapy that serves patients who previously had no effective options after BCG failure [1]. However, founder Dr. Patrick Soon-Shiong's controversial leadership style and complex corporate relationships (NantKwest history, NantHealth) create mixed perceptions about governance and scientific credibility.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ImmunityBio remains unprofitable with TTM EPS of -$0.38 and forward P/E of -423.5x, reflecting a still-pre-profit biotech despite $113M in revenue [2]. The company has no trailing P/E, and the $8.7 billion market cap is built on future growth expectations. Revenue growth of 407% is exceptional but the company ended 2025 with ~$250 million in cash, and ongoing R&amp;D spending creates dilution risk. However, Q4 EPS of -$0.06 beat estimates by 33%, showing progression toward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ImmunityBio demonstrates moderate infinite game characteristics through its mission of transforming cancer treatment with immunotherapy, rapid global expansion to 33 countries, and pipeline expansion into multiple cancer indications [1]. However, the company's dependence on a single product (ANKTIVA) and founder-led governance structure create concentration risks that could limit long-term resilience.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Fighting cancer through immune system activation represents one of the most compelling just causes in biotechnology. ImmunityBio's ANKTIVA serves patients who previously had no options after BCG failure, and the expansion to lung cancer and 33 countries demonstrates genuine commitment to patient access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Soon-Shiong's founder-led approach creates a vision-driven culture but can also centralize decision-making. The 684-employee team has executed a remarkably rapid global commercial launch, suggesting effective organizational capability. However, the NantKwest/NantHealth corporate history raises governance questions.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ImmunityBio competes with Merck (Keytruda), Bristol-Myers (Opdivo), and other checkpoint inhibitor leaders. The IL-15 superagonist mechanism provides differentiation from PD-1/PD-L1 inhibitors, and competition drives the company to expand indications and geographies rapidly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bladder cancer to lung cancer and planned additional indications shows pipeline flexibility. The IL-15 platform's applicability across multiple cancer types provides optionality for future indication expansion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Resubmitting the BLA for papillary bladder cancer after initial FDA pushback shows persistence, and pursuing 33-country regulatory approvals within two years demonstrates bold commercial ambition [1]. However, the company relies heavily on founder vision rather than institutional governance.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ImmunityBio offers exposure to a potentially transformative immunotherapy platform with ANKTIVA revenue surging 700% YoY to ~$113 million, expanded to 33 countries in under two years, and multiple label expansion catalysts in 2026 [1]. The stock is up 332% YTD and 185% over 12 months, yet at $8.47 with an $8.7B market cap, significant upside remains if ANKTIVA becomes a standard-of-care in bladder cancer and lung cancer. The papillary BLA resubmission, BCG-naive trial enrollment ahead of schedule, and Saudi NSCLC approval create a dense catalyst calendar. Q4 EPS beat of 33% shows progression toward profitability.</w:t>
      </w:r>
    </w:p>
    <w:p>
      <w:pPr>
        <w:spacing w:after="120"/>
      </w:pPr>
      <w:r>
        <w:rPr>
          <w:rFonts w:ascii="Calibri" w:hAnsi="Calibri"/>
          <w:b w:val="0"/>
          <w:color w:val="3A4A28"/>
          <w:sz w:val="20"/>
        </w:rPr>
        <w:t>The bear case includes single-product concentration risk — 100% of revenue comes from ANKTIVA, and any safety signal, competitive displacement, or regulatory setback would be devastating [1]. The company remains unprofitable with ~$250 million cash and ongoing R&amp;D burn, meaning dilution risk persists. Dr. Soon-Shiong's controversial history (NantHealth stock decline, complex corporate structures) raises governance red flags. The stock's 332% YTD rise prices in substantial success, and any pipeline disappointment could trigger a sharp correction. The FDA previously rejected the papillary bladder cancer label expansion, and resubmission acceptance is not guaranteed.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decision on resubmitted papillary bladder cancer sBLA could expand ANKTIVA's addressable patient population by 2-3x in 2026</w:t>
      </w:r>
    </w:p>
    <w:p>
      <w:pPr>
        <w:spacing w:before="40" w:after="40"/>
        <w:ind w:left="283"/>
      </w:pPr>
      <w:r>
        <w:rPr>
          <w:rFonts w:ascii="Calibri" w:hAnsi="Calibri"/>
          <w:b/>
          <w:color w:val="4A6B25"/>
          <w:sz w:val="20"/>
        </w:rPr>
        <w:t xml:space="preserve">2. </w:t>
      </w:r>
      <w:r>
        <w:rPr>
          <w:rFonts w:ascii="Calibri" w:hAnsi="Calibri"/>
          <w:b w:val="0"/>
          <w:color w:val="3A4A28"/>
          <w:sz w:val="20"/>
        </w:rPr>
        <w:t>BCG-naive NMIBC trial enrollment ahead of schedule with full enrollment by Q2 2026 and BLA submission targeted by year-end 2026</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from 33 countries expected to generate 'substantive revenue' beginning 2027, with multiple ex-US accelerated approval submissions in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risk — 100% revenue dependence on ANKTIVA means any safety signal, reimbursement challenge, or competitive displacement is existential</w:t>
      </w:r>
    </w:p>
    <w:p>
      <w:pPr>
        <w:spacing w:before="40" w:after="40"/>
        <w:ind w:left="283"/>
      </w:pPr>
      <w:r>
        <w:rPr>
          <w:rFonts w:ascii="Calibri" w:hAnsi="Calibri"/>
          <w:b/>
          <w:color w:val="4A6B25"/>
          <w:sz w:val="20"/>
        </w:rPr>
        <w:t xml:space="preserve">2. </w:t>
      </w:r>
      <w:r>
        <w:rPr>
          <w:rFonts w:ascii="Calibri" w:hAnsi="Calibri"/>
          <w:b w:val="0"/>
          <w:color w:val="3A4A28"/>
          <w:sz w:val="20"/>
        </w:rPr>
        <w:t>FDA could reject the papillary sBLA resubmission, repeating the prior pushback and undermining the label expansion thesis</w:t>
      </w:r>
    </w:p>
    <w:p>
      <w:pPr>
        <w:spacing w:before="40" w:after="40"/>
        <w:ind w:left="283"/>
      </w:pPr>
      <w:r>
        <w:rPr>
          <w:rFonts w:ascii="Calibri" w:hAnsi="Calibri"/>
          <w:b/>
          <w:color w:val="4A6B25"/>
          <w:sz w:val="20"/>
        </w:rPr>
        <w:t xml:space="preserve">3. </w:t>
      </w:r>
      <w:r>
        <w:rPr>
          <w:rFonts w:ascii="Calibri" w:hAnsi="Calibri"/>
          <w:b w:val="0"/>
          <w:color w:val="3A4A28"/>
          <w:sz w:val="20"/>
        </w:rPr>
        <w:t>Founder-led governance with Dr. Soon-Shiong's complex corporate history (NantKwest, NantHealth) creates key-person and governance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moderate enabler for ImmunityBio through drug discovery optimization, clinical trial design, and biomarker identification for patient selection. The immunotherapy space benefits from AI-driven precision medicine approaches. However, ImmunityBio's competitive moat is built on proprietary IL-15 biology and clinical data rather than AI capabilities. AI disruption risk is low since regulatory barriers and clinical trial requirements protect established immunotherapy players.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ImmunityBio Q4 2025 Earnings and 2026 Strategy Update,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IBRX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ImmunityBio FDA regulatory announcements and NCCN guideline updates,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