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ICE</w:t>
      </w:r>
      <w:r>
        <w:rPr>
          <w:rFonts w:ascii="Calibri" w:hAnsi="Calibri"/>
          <w:b/>
          <w:color w:val="1A2010"/>
          <w:sz w:val="40"/>
        </w:rPr>
        <w:t xml:space="preserve">  Intercontinental Exchange, Inc.</w:t>
      </w:r>
    </w:p>
    <w:p>
      <w:pPr>
        <w:spacing w:after="120"/>
      </w:pPr>
      <w:r>
        <w:rPr>
          <w:rFonts w:ascii="Calibri" w:hAnsi="Calibri"/>
          <w:b/>
          <w:color w:val="6E8450"/>
          <w:sz w:val="18"/>
        </w:rPr>
        <w:t>GROWTH SLEEVE · 2026-04-07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United States</w:t>
      </w:r>
    </w:p>
    <w:p>
      <w:pPr>
        <w:spacing w:after="80"/>
      </w:pPr>
      <w:r>
        <w:rPr>
          <w:rFonts w:ascii="Calibri" w:hAnsi="Calibri"/>
          <w:b w:val="0"/>
          <w:color w:val="3A4A28"/>
          <w:sz w:val="20"/>
        </w:rPr>
        <w:t>Intercontinental Exchange operates regulated marketplace technology for trading, clearing, and listing of derivatives, financial securities, and fixed income instruments through its Exchanges, Fixed Income and Data Services, and Mortgage Technology segments. ICE also owns the New York Stock Exchange and provides mortgage technology through its Encompass platform.</w:t>
      </w:r>
    </w:p>
    <w:p>
      <w:r>
        <w:rPr>
          <w:rFonts w:ascii="Calibri" w:hAnsi="Calibri"/>
          <w:b/>
          <w:color w:val="6E8450"/>
          <w:sz w:val="18"/>
        </w:rPr>
        <w:t>12,844 Employees · https://www.ice.com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ICE has executed multiple transformative acquisitions over the past five years — acquiring Black Knight for $11.7B to dominate mortgage technology, building a fixed income data empire, and continuously expanding its exchange footprint. Under Jeff Sprecher's 20+ year leadership, ICE grew from a single energy exchange to a $94B financial infrastructure conglomerate [1][2]. AI Deployment (1/2): ICE is installing AI infrastructure including GPUs, storage, and network equipment, and investing in revenue-generating data center capacity in Jacksonville, Dallas, DC, and India. Hardware-led innovation is creating compute capacity for AI model deployment, though no specific AI revenue is quantified yet [1]. Market Share (2/2): ICE operates the world's premier commodity and financial exchanges, owns the NYSE (the world's largest stock exchange by market cap), and holds dominant positions in CDS clearing and fixed income data [1][2]. Pipeline (1/2): Data center buildout with $250M real estate investment, AI infrastructure deployment, and Mortgage Technology digitization represent specific near-term growth vectors with capex commitments [1]. R&amp;D Intensity (1/1): Significant technology investment across exchange platforms, data analytics, and mortgage technology places ICE above financial services R&amp;D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ICE's mission to make markets more transparent, resilient, and accessible is specific, thoughtful, and validated by 20+ years of execution under Sprecher. The company's role in electronifying previously opaque OTC markets (energy, CDS, fixed income) demonstrates purpose-driven market structure innovation [2]. Community Impact (2/2): ICE employs 12,844 people globally, operates critical financial infrastructure used by thousands of institutions, and its NYSE listing standards and market surveillance protect millions of investors. The company's sustainability data products enable ESG investment across the industry [3]. Employee Retention (1/2): Comparably rates ICE's executive team in the top 25% of similarly sized companies, and Sprecher's 20+ year tenure as founder-CEO creates leadership stability, though no specific employee turnover data was found [2]. Insider Buying (1/2): Sprecher maintains significant equity exposure as founder-CEO with substantial ownership stake, demonstrating long-term alignment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ICE's financial infrastructure is elite. D/E of 70.1% sits right at the target threshold, reflecting disciplined capital structure for an acquisition-driven business [4]. Forward P/E of 19.4x is below the 20x target with adjusted EPS of $6.95 in 2025 (up 14% YoY) and forward EPS of $8.57 [1][4]. Profit margin of 33.4% demonstrates pricing power in exchange and data services [4]. Revenue grew 7.5% YoY to $12.64B in 2025, with 3-year CAGR of 9.5% approaching the 10% target [1]. ROE of 11.9% is below the 15% target, reflecting goodwill from acquisitions (Black Knight) that depresses the return metric [4]. Estimated PEG of 0.83 (19.4x forward P/E / 23.4% earnings growth) is well below the 1.0 target [4]. Liquidity easily cleared: 3.98M avg volume x $166.39 = $662M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ICE under Jeff Sprecher's 24-year leadership demonstrates strong infinite game characteristics — a consistent mission to electronify and improve market transparency, patient acquisition strategy building toward a comprehensive financial infrastructure platform, and willingness to make bold bets (NYSE acquisition, Black Knight). The company builds for decades rather than quarters.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ICE's cause — making markets more transparent, resilient, and accessible through technology — has been consistently executed over 24 years. Sprecher founded ICE in 2000 specifically to electronify opaque OTC energy markets and has extended that mission to every asset class [2]. The cause survived the 2008 financial crisis, regulatory changes, and multiple industry cycles. This is a genuine cause validated by decades of execution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Sprecher's 24-year tenure as founder-CEO provides exceptional leadership continuity, and Comparably rates the executive team in the top 25% of peer companies [2]. The company has maintained stable leadership through multiple major acquisitions (NYSE, IDC, Black Knight) without significant organizational disruption. However, no specific employee retention or culture data was available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 explicitly acknowledges competitive pressures from CME Group, LSEG/Refinitiv, Bloomberg, and Nasdaq, and uses these rivalries to improve its own data, technology, and market structure offerings. Sprecher frames competition as motivation to build better infrastructure rather than to destroy rivals [2]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ICE has evolved significantly from a single energy exchange to a comprehensive financial infrastructure platform spanning exchanges, fixed income data, and mortgage technology. The Black Knight acquisition represented a bold pivot into an entirely new vertical (mortgage servicing). However, each expansion was additive rather than requiring abandonment of a core business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Sprecher's decision to acquire the NYSE in 2012 required enormous capital commitment and vision, and the $11.7B Black Knight acquisition in 2023 demonstrated willingness to make transformative bets during uncertain markets [1][2]. The current $250M data center investment and AI infrastructure buildout show ongoing long-term investment conviction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Intercontinental Exchange is a best-in-class financial infrastructure monopoly delivering record performance — $12.64B revenue in 2025 (up 7.5%), adjusted EPS of $6.95 (up 14%), and record exchange volumes across energy and financial markets [1]. At 19.4x forward earnings with a PEG of 0.83, ICE offers growth-at-a-reasonable-price with 33.4% profit margins and D/E of just 70% [4]. The company's three-legged stool — Exchanges (dominant commodities/equities), Fixed Income Data (pricing/analytics), and Mortgage Technology (Encompass platform) — creates diversified recurring revenue streams. AI infrastructure investment ($250M in data centers) positions ICE to monetize the explosion in compute demand for financial AI models [1].</w:t>
      </w:r>
    </w:p>
    <w:p>
      <w:pPr>
        <w:spacing w:after="120"/>
      </w:pPr>
      <w:r>
        <w:rPr>
          <w:rFonts w:ascii="Calibri" w:hAnsi="Calibri"/>
          <w:b w:val="0"/>
          <w:color w:val="3A4A28"/>
          <w:sz w:val="20"/>
        </w:rPr>
        <w:t>The bear case focuses on acquisition integration risk and growth deceleration. The Black Knight mortgage technology integration carries execution risk as the mortgage market remains depressed by elevated interest rates, and mortgage origination volumes may not recover until rates decline meaningfully [1]. Revenue growth of 7.5% YoY is solid but below the double-digit growth investors expect at a $94B market cap. ROE of 11.9% is suppressed by $21B+ in goodwill from acquisitions, creating a quality illusion where returns look lower than the underlying business economics [4]. Operating expenses are guided to grow 4-5% in 2026, and the $250M real estate investment is capital-intensive with uncertain near-term returns [1]. The 1.28% dividend yield is below the 2% threshold for income investors, limiting the shareholder base. Regulatory changes to clearing mandates or exchange fee structures could pressure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record exchange volumes across energy and financial markets, with benchmark contracts hitting highest-ever volume days, signal structural demand growth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and data center buildout ($250M investment) creating revenue-generating compute capacity for financial AI applications [1]</w:t>
      </w:r>
    </w:p>
    <w:p>
      <w:pPr>
        <w:spacing w:before="40" w:after="40"/>
        <w:ind w:left="283"/>
      </w:pPr>
      <w:r>
        <w:rPr>
          <w:rFonts w:ascii="Calibri" w:hAnsi="Calibri"/>
          <w:b/>
          <w:color w:val="4A6B25"/>
          <w:sz w:val="20"/>
        </w:rPr>
        <w:t xml:space="preserve">3. </w:t>
      </w:r>
      <w:r>
        <w:rPr>
          <w:rFonts w:ascii="Calibri" w:hAnsi="Calibri"/>
          <w:b w:val="0"/>
          <w:color w:val="3A4A28"/>
          <w:sz w:val="20"/>
        </w:rPr>
        <w:t>Mortgage Technology recovery — if interest rates decline, ICE's Encompass platform is positioned to capture surging refinance and origination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 Knight mortgage technology integration risk — the segment faces headwinds from elevated rates and depressed origination volumes that may persist through 2026 [1]</w:t>
      </w:r>
    </w:p>
    <w:p>
      <w:pPr>
        <w:spacing w:before="40" w:after="40"/>
        <w:ind w:left="283"/>
      </w:pPr>
      <w:r>
        <w:rPr>
          <w:rFonts w:ascii="Calibri" w:hAnsi="Calibri"/>
          <w:b/>
          <w:color w:val="4A6B25"/>
          <w:sz w:val="20"/>
        </w:rPr>
        <w:t xml:space="preserve">2. </w:t>
      </w:r>
      <w:r>
        <w:rPr>
          <w:rFonts w:ascii="Calibri" w:hAnsi="Calibri"/>
          <w:b w:val="0"/>
          <w:color w:val="3A4A28"/>
          <w:sz w:val="20"/>
        </w:rPr>
        <w:t>Goodwill-heavy balance sheet ($21B+) from serial acquisitions creates impairment risk if acquired businesses underperform expectations [4]</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changes to clearing mandates, exchange fee structures, or data licensing rules that could compress ICE's pricing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ICE operates critical financial market infrastructure — exchanges, clearinghouses, and data platforms — that are deeply regulated, require massive scale, and cannot be replicated by AI tools. Trading and clearing require regulatory licenses, counterparty guarantees, and network effects that create structural moats [1][2]. The mortgage technology segment (Encompass) is embedded in lender workflows with high switching costs. AI is more likely to increase demand for ICE's data products and compute infrastructure than to displace them. AI Opportunity (1/1): ICE is actively investing in AI infrastructure including GPU deployment, data center capacity expansion ($250M investment), and AI-enhanced data analytics across its exchange and fixed income platforms. CEO Sprecher notes that AI compute buildout will drive innovation in software and create new demand for market data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Intercontinental Exchange Q4 2025 Earnings Call — record adjusted EPS $6.95 (up 14%), $12.64B revenue, 2026 opex guidance 4-5% growth, $250M data center investment, February 2026</w:t>
      </w:r>
    </w:p>
    <w:p>
      <w:pPr>
        <w:spacing w:before="20" w:after="20"/>
        <w:ind w:left="170"/>
      </w:pPr>
      <w:r>
        <w:rPr>
          <w:rFonts w:ascii="Calibri" w:hAnsi="Calibri"/>
          <w:b/>
          <w:color w:val="4A6B25"/>
          <w:sz w:val="15"/>
        </w:rPr>
        <w:t xml:space="preserve">2. </w:t>
      </w:r>
      <w:r>
        <w:rPr>
          <w:rFonts w:ascii="Calibri" w:hAnsi="Calibri"/>
          <w:b w:val="0"/>
          <w:color w:val="3A4A28"/>
          <w:sz w:val="17"/>
        </w:rPr>
        <w:t>FIA Interview, Inside the ICE House — CEO Jeff Sprecher on 20+ years of market disruption, AI infrastructure strategy, competitive philosophy</w:t>
      </w:r>
    </w:p>
    <w:p>
      <w:pPr>
        <w:spacing w:before="20" w:after="20"/>
        <w:ind w:left="170"/>
      </w:pPr>
      <w:r>
        <w:rPr>
          <w:rFonts w:ascii="Calibri" w:hAnsi="Calibri"/>
          <w:b/>
          <w:color w:val="4A6B25"/>
          <w:sz w:val="15"/>
        </w:rPr>
        <w:t xml:space="preserve">3. </w:t>
      </w:r>
      <w:r>
        <w:rPr>
          <w:rFonts w:ascii="Calibri" w:hAnsi="Calibri"/>
          <w:b w:val="0"/>
          <w:color w:val="3A4A28"/>
          <w:sz w:val="17"/>
        </w:rPr>
        <w:t>ICE 2024 Sustainability Report — ESG risk rating 18.6 (low risk), sustainability data product strategy, corporate responsibility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ICE (Intercontinental Exchange),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