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ICHR</w:t>
      </w:r>
      <w:r>
        <w:rPr>
          <w:rFonts w:ascii="Calibri" w:hAnsi="Calibri"/>
          <w:b/>
          <w:color w:val="1A2010"/>
          <w:sz w:val="40"/>
        </w:rPr>
        <w:t xml:space="preserve">  Ichor Holdings, Ltd.</w:t>
      </w:r>
    </w:p>
    <w:p>
      <w:pPr>
        <w:spacing w:after="120"/>
      </w:pPr>
      <w:r>
        <w:rPr>
          <w:rFonts w:ascii="Calibri" w:hAnsi="Calibri"/>
          <w:b/>
          <w:color w:val="6E8450"/>
          <w:sz w:val="18"/>
        </w:rPr>
        <w:t>GROWTH SLEEVE · 2026-05-05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Ichor Holdings designs, engineers, and manufactures critical fluid delivery subsystems and components for semiconductor capital equipment. The company provides gas and chemical delivery subsystems used in the manufacturing of semiconductor devices, serving leading wafer fabrication equipment OEMs. Ichor also supplies components for defense/aerospace and medical industries.</w:t>
      </w:r>
    </w:p>
    <w:p>
      <w:r>
        <w:rPr>
          <w:rFonts w:ascii="Calibri" w:hAnsi="Calibri"/>
          <w:b/>
          <w:color w:val="6E8450"/>
          <w:sz w:val="18"/>
        </w:rPr>
        <w:t>1,891 Employees · https://www.ichorsystems.com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former CTO (now CEO) Phil Barros, Ichor developed a complete suite of proprietary valves, fittings, and substrate components now qualified or in final qualification with major OEM customers [2]. The company is transitioning from pure contract manufacturing to higher-margin proprietary content — targeting 35% Ichor-branded content by end of 2026, up from 25% in 2025 [1]. AI Deployment (0/2): No evidence of AI deployment in manufacturing or products; the company is a precision hardware manufacturer serving AI infrastructure customers rather than using AI internally. Market Share (2/2): Ichor is a leading provider of gas delivery subsystems to the top semiconductor equipment OEMs (Lam Research, Applied Materials), with strong positions in etch and deposition applications where advanced node requirements are driving increased content per tool [1]. Pipeline (1/2): The 35% proprietary content target by end-2026 provides specific visibility, and Q2 2026 revenue guidance of $290-310M (17% sequential growth) demonstrates accelerating demand tied to AI wafer fab expansion [1]. R&amp;D Intensity (1/1): Phil Barros personally holds multiple patents, and the company's investment in proprietary component development (valves, fittings, substrates) represents above-average R&amp;D intensity for a manufacturing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Ichor's website focuses on operational capabilities (design, engineering, manufacturing) rather than articulating a purpose beyond serving customers. No distinctive mission statement found that connects the company's work to a larger purpose — the language is functional and interchangeable with any precision manufacturer [3]. Community Impact (1/2): Ichor's 2024 ESG report highlights RBA (Responsible Business Alliance) participation covering 50% of spend and community initiatives, but no standout charitable programs or dollar amounts cited [3]. Employee Retention (1/2): Phil Barros' 20+ year tenure and promotion from within suggests organizational stability and leadership continuity. The 1,891-person company has grown through the semiconductor cycle without major layoffs. Insider Buying (1/2): Barros' promotion to CEO with Board appointment represents significant personal commitment, but no data on recent net insider buying beyond routine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Ichor's financial profile reflects the semiconductor equipment downcycle trough. D/E of 24.1% is excellent (nearly debt-free balance sheet) [4]. However, ROE is negative (-7.7%) due to 2025 losses, profit margin is negative (-5.6%), and revenue declined -4.2% YoY and -9.6% 5yr CAGR from the 2022 peak ($1.28B) to 2025 ($948M) [1][4]. Forward P/E of 30.7x is elevated for a company with negative current earnings, pricing in significant recovery expectations. The recovery is underway — Q1 2026 revenue of $256M grew 15% sequentially with Q2 guided to $290-310M — but trailing metrics remain deeply impaired [1]. Gross margins of 13-14% are thin and below long-term targets. Liquidity cleared: 941K avg vol x $69.72 = $65.6M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Ichor demonstrates mixed infinite game characteristics — Phil Barros' 20-year tenure and promotion from CTO to CEO represents deep commitment to the company's technical mission, and the proprietary content strategy (25% to 35%) shows long-term capability building. However, the company's existence is fundamentally tied to semiconductor equipment cycles, limiting its ability to control its own destiny.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Ichor does not articulate a Just Cause beyond operational excellence in precision manufacturing for semiconductor equipment [3]. The company exists to serve OEM customers with high-quality fluid delivery subsystems — necessary but not inspiring. The proprietary content strategy represents a business improvement rather than a cause-driven vision. However, enabling the manufacturing of semiconductors that power AI and computing is implicitly purposeful. Score: 1 point on 3-2-2-2-1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Phil Barros' internal promotion after 20+ years and the Board's deliberate succession planning process (considering both internal and external candidates) demonstrates organizational trust in leadership development [2]. The company's 1,891 employees include precision engineers whose expertise is difficult to replace, suggesting retention is valued. No evidence of cultural dysfunction or mass layoffs through the downcycle. Score: 1 point on 3-2-2-2-1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Ichor explicitly acknowledges the competitive dynamic with vertically integrated OEM customers (Lam Research, Applied Materials) who could theoretically in-source gas delivery subsystems [2]. The company uses this competitive pressure to drive proprietary content development — moving from a pure build-to-print manufacturer to a differentiated component supplier. Management frames the relationship as partnership-with-competitive-edge rather than dependency. Score: 1 point on 3-2-2-2-1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Ichor is actively transforming from a contract manufacturer (build-to-print) to a proprietary component company (35% Ichor-branded content target), which represents meaningful strategic evolution within its domain [1]. The company has also diversified beyond semiconductor into defense/aerospace and medical applications. However, the core business model (manufacturing for semi equipment) has not fundamentally changed. Score: 1 point on 3-2-2-2-1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Ichor's continued investment in proprietary component development (valves, fittings, substrates) through the 2023-2025 downcycle — when revenue fell from $1.28B to $948M — demonstrates willingness to build long-term capabilities during a period of financial stress [1][2]. The CEO transition from a veteran CTO signals prioritizing technical vision over financial management. Score: 1 point on 3-2-2-2-1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Ichor Holdings is a semiconductor equipment subsystem supplier entering a powerful upcycle driven by AI infrastructure buildout, with Q1 2026 revenue of $256M (up 15% sequentially) and Q2 guided to $290-310M (17% sequential growth) as wafer fab equipment demand accelerates [1]. The proprietary content strategy (targeting 35% Ichor-branded by end-2026, up from 25%) will structurally expand margins as higher-value components replace build-to-print manufacturing [1]. New CEO Phil Barros brings 20+ years of technical leadership and multiple patents, positioning the company to capitalize on increasing gas delivery content per advanced node (EUV, GAA transistors require more etch/deposition steps) [2]. The stock trades at 30.7x forward P/E on depressed trailing earnings that are rapidly recovering.</w:t>
      </w:r>
    </w:p>
    <w:p>
      <w:pPr>
        <w:spacing w:after="120"/>
      </w:pPr>
      <w:r>
        <w:rPr>
          <w:rFonts w:ascii="Calibri" w:hAnsi="Calibri"/>
          <w:b w:val="0"/>
          <w:color w:val="3A4A28"/>
          <w:sz w:val="20"/>
        </w:rPr>
        <w:t>The bear case centers on margin weakness and cyclical vulnerability. Despite revenue recovery, gross margins remain thin at 13-14% with a target of only 15%, well below semiconductor peers — Ichor's contract manufacturing heritage limits pricing power [1]. The 5-year revenue CAGR of -9.6% reflects brutal cyclicality, and the current recovery could stall if AI capex moderates or if OEM customers (Lam, Applied Materials) choose to vertically integrate fluid delivery. Forward P/E of 30.7x on $2.27 forward EPS prices in significant further recovery — any disappointment in the ramp trajectory would compress the multiple. The company reported GAAP losses in 2025 and only $0.15 non-GAAP EPS in Q1 2026, meaning profitability remains marginal even in recovery [1]. Customer concentration risk is severe — a small number of OEMs represent the majority of revenue, and any share loss would be material.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capex upcycle — Q2 2026 revenue guided to $290-310M represents 17% sequential growth, with visibility into sustained demand from advanced node wafer fab expansion [1]</w:t>
      </w:r>
    </w:p>
    <w:p>
      <w:pPr>
        <w:spacing w:before="40" w:after="40"/>
        <w:ind w:left="283"/>
      </w:pPr>
      <w:r>
        <w:rPr>
          <w:rFonts w:ascii="Calibri" w:hAnsi="Calibri"/>
          <w:b/>
          <w:color w:val="4A6B25"/>
          <w:sz w:val="20"/>
        </w:rPr>
        <w:t xml:space="preserve">2. </w:t>
      </w:r>
      <w:r>
        <w:rPr>
          <w:rFonts w:ascii="Calibri" w:hAnsi="Calibri"/>
          <w:b w:val="0"/>
          <w:color w:val="3A4A28"/>
          <w:sz w:val="20"/>
        </w:rPr>
        <w:t>Proprietary content expansion from 25% to 35% by end-2026 will structurally improve gross margins as Ichor-branded valves, fittings, and substrates command higher margins than build-to-print subsystems [1]</w:t>
      </w:r>
    </w:p>
    <w:p>
      <w:pPr>
        <w:spacing w:before="40" w:after="40"/>
        <w:ind w:left="283"/>
      </w:pPr>
      <w:r>
        <w:rPr>
          <w:rFonts w:ascii="Calibri" w:hAnsi="Calibri"/>
          <w:b/>
          <w:color w:val="4A6B25"/>
          <w:sz w:val="20"/>
        </w:rPr>
        <w:t xml:space="preserve">3. </w:t>
      </w:r>
      <w:r>
        <w:rPr>
          <w:rFonts w:ascii="Calibri" w:hAnsi="Calibri"/>
          <w:b w:val="0"/>
          <w:color w:val="3A4A28"/>
          <w:sz w:val="20"/>
        </w:rPr>
        <w:t>New CEO Phil Barros (20+ year veteran, former CTO with multiple patents) positions the company to deepen technical partnerships with OEMs and accelerate proprietary product qualification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fragility — gross margins of only 13-14% even in recovery (targeting 15%) leave minimal buffer for execution issues, and GAAP EPS was -$0.07 in Q1 2026 despite revenue growth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 dependency on a small number of semiconductor equipment OEMs (Lam Research, Applied Materials) means any share loss or in-sourcing decision would materially impact revenue [2]</w:t>
      </w:r>
    </w:p>
    <w:p>
      <w:pPr>
        <w:spacing w:before="40" w:after="40"/>
        <w:ind w:left="283"/>
      </w:pPr>
      <w:r>
        <w:rPr>
          <w:rFonts w:ascii="Calibri" w:hAnsi="Calibri"/>
          <w:b/>
          <w:color w:val="4A6B25"/>
          <w:sz w:val="20"/>
        </w:rPr>
        <w:t xml:space="preserve">3. </w:t>
      </w:r>
      <w:r>
        <w:rPr>
          <w:rFonts w:ascii="Calibri" w:hAnsi="Calibri"/>
          <w:b w:val="0"/>
          <w:color w:val="3A4A28"/>
          <w:sz w:val="20"/>
        </w:rPr>
        <w:t>Cyclical overshoot risk — the stock at 30.7x forward P/E prices in sustained upcycle, but semiconductor equipment spending is historically volatile and AI capex could plateau faster than expected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Ichor is a direct beneficiary of AI infrastructure buildout — the company's gas and chemical delivery subsystems are essential components in the wafer fabrication equipment used to manufacture AI chips [1]. AI cannot replace precision semiconductor manufacturing hardware; rather, AI-driven demand for advanced chips (NVIDIA, AMD, custom ASICs) directly increases demand for Ichor's subsystems. The company benefits from increased process steps required for advanced architectures (EUV, 3nm, GAA transistors), where etch and deposition applications grow on a per-wafer basis. Revenue is structurally tied to AI capex cycles. AI Opportunity (1/1): Ichor generates quantifiable revenue from AI infrastructure — the Q1 2026 recovery and Q2 guidance of $290-310M are explicitly driven by 'AI-driven wafer fab equipment transitions and capacity expansions' per management commentary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Ichor Holdings Q1 2026 Earnings Release — $256M revenue (up 15% sequentially), Q2 guidance $290-310M, gross margin 13-14% target, May 4, 2026</w:t>
      </w:r>
    </w:p>
    <w:p>
      <w:pPr>
        <w:spacing w:before="20" w:after="20"/>
        <w:ind w:left="170"/>
      </w:pPr>
      <w:r>
        <w:rPr>
          <w:rFonts w:ascii="Calibri" w:hAnsi="Calibri"/>
          <w:b/>
          <w:color w:val="4A6B25"/>
          <w:sz w:val="15"/>
        </w:rPr>
        <w:t xml:space="preserve">2. </w:t>
      </w:r>
      <w:r>
        <w:rPr>
          <w:rFonts w:ascii="Calibri" w:hAnsi="Calibri"/>
          <w:b w:val="0"/>
          <w:color w:val="3A4A28"/>
          <w:sz w:val="17"/>
        </w:rPr>
        <w:t>Ichor Holdings CEO transition — Phil Barros promoted from CTO, 20+ year tenure, proprietary content strategy, November 2025 / Investor Relations</w:t>
      </w:r>
    </w:p>
    <w:p>
      <w:pPr>
        <w:spacing w:before="20" w:after="20"/>
        <w:ind w:left="170"/>
      </w:pPr>
      <w:r>
        <w:rPr>
          <w:rFonts w:ascii="Calibri" w:hAnsi="Calibri"/>
          <w:b/>
          <w:color w:val="4A6B25"/>
          <w:sz w:val="15"/>
        </w:rPr>
        <w:t xml:space="preserve">3. </w:t>
      </w:r>
      <w:r>
        <w:rPr>
          <w:rFonts w:ascii="Calibri" w:hAnsi="Calibri"/>
          <w:b w:val="0"/>
          <w:color w:val="3A4A28"/>
          <w:sz w:val="17"/>
        </w:rPr>
        <w:t>Ichor Holdings ESG Report 2024 and corporate website — RBA participation, environmental stewardship,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ICHR (Ichor Holdings),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