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ICLR</w:t>
      </w:r>
      <w:r>
        <w:rPr>
          <w:rFonts w:ascii="Calibri" w:hAnsi="Calibri"/>
          <w:b/>
          <w:color w:val="1A2010"/>
          <w:sz w:val="40"/>
        </w:rPr>
        <w:t xml:space="preserve">  ICON Public Limited Company</w:t>
      </w:r>
    </w:p>
    <w:p>
      <w:pPr>
        <w:spacing w:after="120"/>
      </w:pPr>
      <w:r>
        <w:rPr>
          <w:rFonts w:ascii="Calibri" w:hAnsi="Calibri"/>
          <w:b/>
          <w:color w:val="6E8450"/>
          <w:sz w:val="18"/>
        </w:rPr>
        <w:t>GROWTH SLEEVE · 2026-04-21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Ireland</w:t>
      </w:r>
    </w:p>
    <w:p>
      <w:pPr>
        <w:spacing w:after="80"/>
      </w:pPr>
      <w:r>
        <w:rPr>
          <w:rFonts w:ascii="Calibri" w:hAnsi="Calibri"/>
          <w:b w:val="0"/>
          <w:color w:val="3A4A28"/>
          <w:sz w:val="20"/>
        </w:rPr>
        <w:t>ICON is a global clinical research organization (CRO) providing outsourced drug development and commercialization services to pharmaceutical, biotechnology, and medical device companies. Services span Phase I-IV clinical trials, data analytics, laboratory services, and regulatory consulting across 50+ countries.</w:t>
      </w:r>
    </w:p>
    <w:p>
      <w:r>
        <w:rPr>
          <w:rFonts w:ascii="Calibri" w:hAnsi="Calibri"/>
          <w:b/>
          <w:color w:val="6E8450"/>
          <w:sz w:val="18"/>
        </w:rPr>
        <w:t>39,800 Employees · https://www.iconplc.com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ICON completed the $12B PRA Health Sciences acquisition in 2021, creating the world's third-largest CRO, but organic revenue growth has stagnated at 0.6% YoY with Q3 2025 revenue of $2.04B essentially flat [1][2]. No transformative new service lines have emerged post-merger. AI Deployment (1/2): ICON established an AI Centre of Excellence with a dedicated team of data scientists deploying AI solutions for trial site selection, patient matching, and protocol optimization, though quantified revenue or savings figures have not been disclosed [3]. Market Share (1/2): ICON is a top-3 CRO by revenue behind Labcorp and IQVIA, with meaningful scale in functional service partnerships, but is not gaining share — the February 2026 accounting investigation has created uncertainty and likely cost new business wins [1][4]. Pipeline (1/2): ICON's AI-powered trial tools and decentralized trial capabilities represent next-gen offerings, but no specific product launches with revenue timelines have been announced [3]. R&amp;D Intensity (1/1): R&amp;D investment is meaningful for a services company, with the AI Centre of Excellence and digital platform investments reflecting above-average commitment to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ICON's purpose — advancing clinical research to improve patient outcomes — is clear and connects the business to healthcare impact, but is largely interchangeable with any CRO peer. It describes what ICON does, not a distinctive vision of a better future [5]. Community Impact (1/2): ICON Cares ESG program includes charitable giving and community health initiatives, and the company was ranked 57th in Time's World's Top Companies for Sustainable Growth as the highest-ranked CRO [5]. Employee Retention (1/2): Glassdoor rating of 3.5/5 with 64% recommendation rate and mixed reviews citing management politics offset by stability; average for the CRO industry where turnover tends to be high [4]. Insider Buying (1/2): No evidence of significant net insider buying in recent periods; CEO transition from Steve Cutler to Barry Balfe in October 2025 creates a reset period where insider transactions are less meaningful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ICON's balance sheet is conservative with D/E of 38.3% (well below the 70% target) and $3.6B total debt against $469M cash, reflecting post-PRA acquisition deleveraging [6]. Forward P/E of 9.6x is exceptionally low, suggesting the market is pricing in accounting investigation risk [1]. ROE of 6.3% is weak (well below the 15% target), dragged down by $9.5B in goodwill on the balance sheet from the PRA deal. Profit margin of 7.4% is thin for a services business and below the 20% target. Revenue growth of 0.6% YoY reflects industry headwinds from biotech funding slowdowns. The 3-year revenue CAGR of 14.8% is strong, boosted by the 2021 PRA acquisition. PEG of 19.8x is extremely elevated, reflecting near-zero earnings growth. Liquidity floor cleared: 1.8M avg vol x $117.12 = $211M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ICON plays a mixed game — the company has genuine purpose in advancing clinical research and has shown some flexibility through the PRA acquisition, but the recent accounting investigation and CEO transition raise questions about organizational stability and trust. The company's competitive language focuses more on scale and market position than on enduring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ICON's cause — advancing clinical research to bring therapies to patients faster — is genuine and connects to healthcare impact, but it has not been distinctively articulated or validated through decades of consistent strategic decisions (2 pts). The company was founded in 1989 and has grown steadily, but purpose language is standard for the CRO industry rather than uniquely ICON's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caveats (1 pt). Glassdoor rating of 3.5/5 indicates average employee satisfaction. Mixed reviews cite favoritism and HR issues alongside stability and professional growth opportunities [4]. The October 2025 CEO transition from Cutler to Barry Balfe (a 20-year ICON veteran promoted internally) suggests leadership continuity, but the February 2026 accounting investigation creates organizational uncertainty [1][4].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ICON's competitive language centers on being the 'largest pure-play CRO' and winning market share from IQVIA and Labcorp rather than learning from rivals' strengths (0 pts). The PRA acquisition was framed as achieving competitive scale, a finite game move focused on size rather than capability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The $12B PRA Health Sciences acquisition in 2021 was a significant strategic move that doubled ICON's scale and expanded capabilities in decentralized trials and data analytics. ICON has also invested in AI and digital capabilities. However, these moves are incremental evolution within the CRO model rather than transformative reinvention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 (1 pt). The PRA acquisition represented a bold bet on scale during a period of biotech funding uncertainty. ICON's investment in the AI Centre of Excellence during industry headwinds shows willingness to invest for the future. However, the delayed earnings release and accounting investigation in February 2026 suggest governance weaknesses that undermine leadership credibility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ICON is a top-3 global CRO trading at a depressed 9.6x forward P/E due to a February 2026 accounting investigation that delayed Q4/FY2025 earnings and created significant uncertainty [1]. The underlying business generates $8.1B in annual revenue with $925M in free cash flow and a conservative balance sheet (D/E 38%) [6]. If the investigation resolves cleanly, the stock represents deep value — consensus expects $12.23 forward EPS, implying 65% earnings growth as one-time charges roll off. ICON's AI Centre of Excellence, decentralized trial capabilities, and 39,800-employee global footprint position it well for pharmaceutical outsourcing growth as biotech funding recovers [3].</w:t>
      </w:r>
    </w:p>
    <w:p>
      <w:pPr>
        <w:spacing w:after="120"/>
      </w:pPr>
      <w:r>
        <w:rPr>
          <w:rFonts w:ascii="Calibri" w:hAnsi="Calibri"/>
          <w:b w:val="0"/>
          <w:color w:val="3A4A28"/>
          <w:sz w:val="20"/>
        </w:rPr>
        <w:t>The bear case is substantial. The accounting investigation into revenue recognition practices creates binary risk — if material restatements are required, trust erosion could cost significant new business wins in an industry where sponsor relationships are built on data integrity [1]. Organic revenue growth has stalled at 0.6% amid biotech funding headwinds and clinical trial cancellations. ROE of 6.3% is weak, reflecting $9.5B in goodwill from the PRA acquisition diluting returns on capital. The CEO transition to Barry Balfe in October 2025, followed almost immediately by the accounting investigation disclosure in February 2026, creates leadership uncertainty at a critical moment [4]. The PEG ratio of 19.8x (reflecting near-zero current earnings growth) suggests the market sees no near-term growth catalyst. Competition from IQVIA's data advantages and emerging AI-native CRO platforms could erode ICON's scale advantage over time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accounting investigation expected by April 30, 2026 — a clean outcome could unlock 40%+ upside from depressed $117 price to analyst targets in the $160-180 range [1]</w:t>
      </w:r>
    </w:p>
    <w:p>
      <w:pPr>
        <w:spacing w:before="40" w:after="40"/>
        <w:ind w:left="283"/>
      </w:pPr>
      <w:r>
        <w:rPr>
          <w:rFonts w:ascii="Calibri" w:hAnsi="Calibri"/>
          <w:b/>
          <w:color w:val="4A6B25"/>
          <w:sz w:val="20"/>
        </w:rPr>
        <w:t xml:space="preserve">2. </w:t>
      </w:r>
      <w:r>
        <w:rPr>
          <w:rFonts w:ascii="Calibri" w:hAnsi="Calibri"/>
          <w:b w:val="0"/>
          <w:color w:val="3A4A28"/>
          <w:sz w:val="20"/>
        </w:rPr>
        <w:t>Biotech funding recovery driving new clinical trial starts — ICON's backlog replenishment would accelerate revenue growth toward mid-single-digit organic rates through 2027 [2]</w:t>
      </w:r>
    </w:p>
    <w:p>
      <w:pPr>
        <w:spacing w:before="40" w:after="40"/>
        <w:ind w:left="283"/>
      </w:pPr>
      <w:r>
        <w:rPr>
          <w:rFonts w:ascii="Calibri" w:hAnsi="Calibri"/>
          <w:b/>
          <w:color w:val="4A6B25"/>
          <w:sz w:val="20"/>
        </w:rPr>
        <w:t xml:space="preserve">3. </w:t>
      </w:r>
      <w:r>
        <w:rPr>
          <w:rFonts w:ascii="Calibri" w:hAnsi="Calibri"/>
          <w:b w:val="0"/>
          <w:color w:val="3A4A28"/>
          <w:sz w:val="20"/>
        </w:rPr>
        <w:t>AI Centre of Excellence tools gaining adoption, potentially driving margin expansion through operational efficiencies and differentiated trial analytics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Accounting investigation could reveal material revenue recognition issues, requiring restatements and destroying sponsor confidence in an industry built on data integrity [1]</w:t>
      </w:r>
    </w:p>
    <w:p>
      <w:pPr>
        <w:spacing w:before="40" w:after="40"/>
        <w:ind w:left="283"/>
      </w:pPr>
      <w:r>
        <w:rPr>
          <w:rFonts w:ascii="Calibri" w:hAnsi="Calibri"/>
          <w:b/>
          <w:color w:val="4A6B25"/>
          <w:sz w:val="20"/>
        </w:rPr>
        <w:t xml:space="preserve">2. </w:t>
      </w:r>
      <w:r>
        <w:rPr>
          <w:rFonts w:ascii="Calibri" w:hAnsi="Calibri"/>
          <w:b w:val="0"/>
          <w:color w:val="3A4A28"/>
          <w:sz w:val="20"/>
        </w:rPr>
        <w:t>Prolonged biotech funding weakness and clinical trial cancellations continue to suppress organic growth below 1% YoY, making the PRA acquisition premium harder to justify [2]</w:t>
      </w:r>
    </w:p>
    <w:p>
      <w:pPr>
        <w:spacing w:before="40" w:after="40"/>
        <w:ind w:left="283"/>
      </w:pPr>
      <w:r>
        <w:rPr>
          <w:rFonts w:ascii="Calibri" w:hAnsi="Calibri"/>
          <w:b/>
          <w:color w:val="4A6B25"/>
          <w:sz w:val="20"/>
        </w:rPr>
        <w:t xml:space="preserve">3. </w:t>
      </w:r>
      <w:r>
        <w:rPr>
          <w:rFonts w:ascii="Calibri" w:hAnsi="Calibri"/>
          <w:b w:val="0"/>
          <w:color w:val="3A4A28"/>
          <w:sz w:val="20"/>
        </w:rPr>
        <w:t>IQVIA's proprietary Real-World Data advantages and AI-native CRO competitors could erode ICON's competitive position in a market shifting toward data-driven trial design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Clinical trials require physical patient interactions, regulatory compliance (FDA/EMA oversight), and complex multi-site coordination that AI cannot fully automate. The core CRO business is protected by regulatory barriers, switching costs, and the need for human clinical judgment [3]. However, AI tools are automating portions of ICON's value chain — site selection, patient recruitment, data monitoring, and protocol design — creating margin pressure as sponsors demand AI-driven efficiencies at lower cost. Competitors like IQVIA with larger proprietary datasets may gain AI-driven advantages in analytics and real-world evidence. AI Opportunity (1/1): ICON's AI Centre of Excellence is deploying proprietary AI tools across trial operations, with documented capabilities in patient matching, site identification, and predictive analytics, generating measurable operational value for sponsors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ICON plc Q3 2025 Earnings Release — $2.04B revenue, accounting investigation disclosure February 2026</w:t>
      </w:r>
    </w:p>
    <w:p>
      <w:pPr>
        <w:spacing w:before="20" w:after="20"/>
        <w:ind w:left="170"/>
      </w:pPr>
      <w:r>
        <w:rPr>
          <w:rFonts w:ascii="Calibri" w:hAnsi="Calibri"/>
          <w:b/>
          <w:color w:val="4A6B25"/>
          <w:sz w:val="15"/>
        </w:rPr>
        <w:t xml:space="preserve">2. </w:t>
      </w:r>
      <w:r>
        <w:rPr>
          <w:rFonts w:ascii="Calibri" w:hAnsi="Calibri"/>
          <w:b w:val="0"/>
          <w:color w:val="3A4A28"/>
          <w:sz w:val="17"/>
        </w:rPr>
        <w:t>Financial Modeling Prep — ICON plc Q1 2026 Earnings Preview, institutional investor activity analysis</w:t>
      </w:r>
    </w:p>
    <w:p>
      <w:pPr>
        <w:spacing w:before="20" w:after="20"/>
        <w:ind w:left="170"/>
      </w:pPr>
      <w:r>
        <w:rPr>
          <w:rFonts w:ascii="Calibri" w:hAnsi="Calibri"/>
          <w:b/>
          <w:color w:val="4A6B25"/>
          <w:sz w:val="15"/>
        </w:rPr>
        <w:t xml:space="preserve">3. </w:t>
      </w:r>
      <w:r>
        <w:rPr>
          <w:rFonts w:ascii="Calibri" w:hAnsi="Calibri"/>
          <w:b w:val="0"/>
          <w:color w:val="3A4A28"/>
          <w:sz w:val="17"/>
        </w:rPr>
        <w:t>ICON plc — AI Centre of Excellence, portfolio of AI tools for clinical trial efficiencies, December 2025</w:t>
      </w:r>
    </w:p>
    <w:p>
      <w:pPr>
        <w:spacing w:before="20" w:after="20"/>
        <w:ind w:left="170"/>
      </w:pPr>
      <w:r>
        <w:rPr>
          <w:rFonts w:ascii="Calibri" w:hAnsi="Calibri"/>
          <w:b/>
          <w:color w:val="4A6B25"/>
          <w:sz w:val="15"/>
        </w:rPr>
        <w:t xml:space="preserve">4. </w:t>
      </w:r>
      <w:r>
        <w:rPr>
          <w:rFonts w:ascii="Calibri" w:hAnsi="Calibri"/>
          <w:b w:val="0"/>
          <w:color w:val="3A4A28"/>
          <w:sz w:val="17"/>
        </w:rPr>
        <w:t>Glassdoor — ICON plc employee reviews (3.5/5, 5,203 reviews), CEO and leadership assessment</w:t>
      </w:r>
    </w:p>
    <w:p>
      <w:pPr>
        <w:spacing w:before="20" w:after="20"/>
        <w:ind w:left="170"/>
      </w:pPr>
      <w:r>
        <w:rPr>
          <w:rFonts w:ascii="Calibri" w:hAnsi="Calibri"/>
          <w:b/>
          <w:color w:val="4A6B25"/>
          <w:sz w:val="15"/>
        </w:rPr>
        <w:t xml:space="preserve">5. </w:t>
      </w:r>
      <w:r>
        <w:rPr>
          <w:rFonts w:ascii="Calibri" w:hAnsi="Calibri"/>
          <w:b w:val="0"/>
          <w:color w:val="3A4A28"/>
          <w:sz w:val="17"/>
        </w:rPr>
        <w:t>ICON plc — ICON Cares ESG Report, Time World's Top Companies for Sustainable Growth ranking</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ICLR (ICON plc),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