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ICL</w:t>
      </w:r>
      <w:r>
        <w:rPr>
          <w:rFonts w:ascii="Calibri" w:hAnsi="Calibri"/>
          <w:b/>
          <w:color w:val="1A2010"/>
          <w:sz w:val="40"/>
        </w:rPr>
        <w:t xml:space="preserve">  ICL Group Ltd.</w:t>
      </w:r>
    </w:p>
    <w:p>
      <w:pPr>
        <w:spacing w:after="120"/>
      </w:pPr>
      <w:r>
        <w:rPr>
          <w:rFonts w:ascii="Calibri" w:hAnsi="Calibri"/>
          <w:b/>
          <w:color w:val="6E8450"/>
          <w:sz w:val="18"/>
        </w:rPr>
        <w:t>DIVIDEND SLEEVE · 2026-04-24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Israel</w:t>
      </w:r>
    </w:p>
    <w:p>
      <w:pPr>
        <w:spacing w:after="80"/>
      </w:pPr>
      <w:r>
        <w:rPr>
          <w:rFonts w:ascii="Calibri" w:hAnsi="Calibri"/>
          <w:b w:val="0"/>
          <w:color w:val="3A4A28"/>
          <w:sz w:val="20"/>
        </w:rPr>
        <w:t>ICL Group is a global specialty minerals and chemicals company operating across Industrial Products, Potash, Phosphate Solutions, and Growing Solutions segments. The company extracts bromine and potash from the Dead Sea, produces specialty phosphates for food and industrial applications, and develops precision agriculture fertilizer solutions serving pharmaceutical, food, agriculture, and industrial markets worldwide.</w:t>
      </w:r>
    </w:p>
    <w:p>
      <w:r>
        <w:rPr>
          <w:rFonts w:ascii="Calibri" w:hAnsi="Calibri"/>
          <w:b/>
          <w:color w:val="6E8450"/>
          <w:sz w:val="18"/>
        </w:rPr>
        <w:t>12,165 Employees · https://www.icl-group.com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ICL's innovation track record over the past five years centers on expanding its specialty minerals portfolio beyond commodity fertilizers, including phosphate-based food additives and battery-grade materials for energy storage, though no single launch has been transformational (1 pt) [1]. The company deploys digital agronomy platforms and precision agriculture tools through its Growing Solutions segment, but no specific AI-driven revenue or cost savings are publicly quantified (0 pts) [3]. ICL holds solid market share in Dead Sea bromine and potash but operates in a commodity-driven market where differentiation is incremental (1 pt) [1]. Its pipeline includes lithium iron phosphate (LFP) battery materials and specialty phosphate food ingredients with general R&amp;D activity but vague timelines (1 pt) [3]. R&amp;D spend is modest for a chemicals company, with the Harvard Business School 'BIG' innovation program representing a cultural initiative rather than intensive R&amp;D investment (1 pt)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ICL's mission — 'creating impactful solutions for humanity's sustainability challenges in food, agriculture, and industrial markets' — is clear and specific to its business, connecting mineral extraction to food security and sustainability outcomes (2 pts mission floor) [3]. The company's ESG commitment includes a 22.2% reduction in Scope 1 &amp; 2 GHG emissions since 2018 and restoration of the Ashalim creek after a 2017 environmental incident, demonstrating tangible community and environmental investment (1 pt) [3]. Glassdoor shows 82% recommendation rate and 3.7/5 on culture/values, suggesting adequate employee satisfaction but no standout retention data (1 pt) [3]. CEO Raviv Zoller has led since 2018 with stable executive tenure, but no evidence of meaningful net insider buying was found (0 pts) [2]. Total: 2 + 1 + 1 + 1 =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ICL's infrastructure shows a mixed profile: strong balance sheet with D/E of only 44.2% and attractive forward P/E of 12.1x, but severely depressed profitability with profit margin at just 3.2% and ROE of 4.6% — well below the 15% target [2]. Revenue growth is modest at 6.2% YoY and 7.4% 5yr CAGR, reflecting partial recovery from the 2022 commodity peak [1]. Dividend sustainability is concerning: the 96.4% payout ratio nearly exhausts earnings, consecutive growth years stand at zero after deep dividend cuts from the 2022 highs, and the 5yr dividend CAGR is negative at -1.7% [2]. The 12 consecutive years of payments provide ballast but cannot offset the weak income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ICL demonstrates genuine long-term orientation rooted in stewardship of finite natural resources from the Dead Sea, but its cyclical commodity exposure and dividend volatility reveal tension between sustainability aspirations and quarterly financial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ICL's cause of solving 'humanity's sustainability challenges in food, agriculture, and industrial markets' connects its mineral extraction work to food security — a genuine purpose that differentiates from pure commodity miners. The mission has guided strategic pivots toward specialty chemicals and precision agriculture. However, it has not been tested through a transformative crisis in the way that validates a decade-spanning Just Cause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ICL's Glassdoor rating of 3.7/5 on culture and 82% recommendation rate indicate an adequate work environment. The Harvard-recognized 'BIG' innovation program empowers employees to propose and execute new ideas, suggesting some level of organizational trust. However, the company has undergone restructuring and segment changes that may create uncertainty (1 pt)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ICL acknowledges competitors like Nutrien and Mosaic as driving forces for improving its specialty portfolio and pivoting beyond commodity potash. Management's strategic emphasis on differentiation through specialty minerals — rather than competing purely on volume — reflects an improvement-oriented competitive mindset (1 pt)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ICL has incrementally evolved from a commodity potash/bromine producer to a specialty minerals and precision agriculture company, entering food-grade phosphates, flame retardants, and battery materials. These shifts are meaningful but evolutionary rather than transformative — the Dead Sea resource base remains central (1 pt)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ICL invested in specialty chemical diversification and sustainability initiatives during the post-2022 commodity downturn, accepting lower near-term margins to build higher-value product lines. However, the company also cut dividends sharply, which may reflect financial necessity rather than strategic courage (1 pt)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ICL Group at 12.1x forward earnings offers a low-leverage specialty minerals company (D/E 44%) positioned at the intersection of food security and sustainability. Q4 2025 sales grew 6% to $1.70B with adjusted EBITDA up 10% to $380M, and 2026 guidance targets $1.4-1.6B adjusted EBITDA with potash volumes of 4.5-4.7M metric tons [1]. The Dead Sea concession provides irreplaceable bromine and potash resources, while the specialty pivot into food-grade phosphates, battery materials (LFP), and precision agriculture positions ICL for higher-margin growth. The Inspire Impact Score of 64 (ALIGNED) with 19 positive attributions reflects strong faith-based governance.</w:t>
      </w:r>
    </w:p>
    <w:p>
      <w:pPr>
        <w:spacing w:after="120"/>
      </w:pPr>
      <w:r>
        <w:rPr>
          <w:rFonts w:ascii="Calibri" w:hAnsi="Calibri"/>
          <w:b w:val="0"/>
          <w:color w:val="3A4A28"/>
          <w:sz w:val="20"/>
        </w:rPr>
        <w:t>The bear case centers on ICL's severely depressed profitability — profit margin of just 3.2% and ROE of 4.6% versus the 2022 peak when commodity prices generated $10B revenue and $2.2B net income [1]. The 96.4% payout ratio leaves virtually no earnings cushion for the dividend, and the 5yr dividend CAGR is negative at -1.7% as payouts were slashed from the 2022 highs. Potash prices remain well below 2022 peaks, and geopolitical risk from Israeli operations adds a structural discount. If commodity markets remain depressed, ICL may need to further reduce dividends, and the specialty pivot may take years to generate meaningful margin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earnings (May 13) could validate the EBITDA recovery trajectory toward the $1.4-1.6B 2026 guidance range, with potash volume targets of 4.5-4.7M metric tons [1]</w:t>
      </w:r>
    </w:p>
    <w:p>
      <w:pPr>
        <w:spacing w:before="40" w:after="40"/>
        <w:ind w:left="283"/>
      </w:pPr>
      <w:r>
        <w:rPr>
          <w:rFonts w:ascii="Calibri" w:hAnsi="Calibri"/>
          <w:b/>
          <w:color w:val="4A6B25"/>
          <w:sz w:val="20"/>
        </w:rPr>
        <w:t xml:space="preserve">2. </w:t>
      </w:r>
      <w:r>
        <w:rPr>
          <w:rFonts w:ascii="Calibri" w:hAnsi="Calibri"/>
          <w:b w:val="0"/>
          <w:color w:val="3A4A28"/>
          <w:sz w:val="20"/>
        </w:rPr>
        <w:t>Battery materials (LFP) commercialization could open a high-margin revenue stream as EV and energy storage demand accelerates globally</w:t>
      </w:r>
    </w:p>
    <w:p>
      <w:pPr>
        <w:spacing w:before="40" w:after="40"/>
        <w:ind w:left="283"/>
      </w:pPr>
      <w:r>
        <w:rPr>
          <w:rFonts w:ascii="Calibri" w:hAnsi="Calibri"/>
          <w:b/>
          <w:color w:val="4A6B25"/>
          <w:sz w:val="20"/>
        </w:rPr>
        <w:t xml:space="preserve">3. </w:t>
      </w:r>
      <w:r>
        <w:rPr>
          <w:rFonts w:ascii="Calibri" w:hAnsi="Calibri"/>
          <w:b w:val="0"/>
          <w:color w:val="3A4A28"/>
          <w:sz w:val="20"/>
        </w:rPr>
        <w:t>Potash supply disruptions from Belarus/Russia sanctions or reduced competitor output could drive commodity price recovery and margin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3.2% and payout ratio of 96.4% create dividend sustainability risk — another earnings miss would likely force a dividend cut [2]</w:t>
      </w:r>
    </w:p>
    <w:p>
      <w:pPr>
        <w:spacing w:before="40" w:after="40"/>
        <w:ind w:left="283"/>
      </w:pPr>
      <w:r>
        <w:rPr>
          <w:rFonts w:ascii="Calibri" w:hAnsi="Calibri"/>
          <w:b/>
          <w:color w:val="4A6B25"/>
          <w:sz w:val="20"/>
        </w:rPr>
        <w:t xml:space="preserve">2. </w:t>
      </w:r>
      <w:r>
        <w:rPr>
          <w:rFonts w:ascii="Calibri" w:hAnsi="Calibri"/>
          <w:b w:val="0"/>
          <w:color w:val="3A4A28"/>
          <w:sz w:val="20"/>
        </w:rPr>
        <w:t>Geopolitical risk from Israeli operations including Dead Sea concession, regional conflicts, and potential regulatory changes to extraction rights</w:t>
      </w:r>
    </w:p>
    <w:p>
      <w:pPr>
        <w:spacing w:before="40" w:after="40"/>
        <w:ind w:left="283"/>
      </w:pPr>
      <w:r>
        <w:rPr>
          <w:rFonts w:ascii="Calibri" w:hAnsi="Calibri"/>
          <w:b/>
          <w:color w:val="4A6B25"/>
          <w:sz w:val="20"/>
        </w:rPr>
        <w:t xml:space="preserve">3. </w:t>
      </w:r>
      <w:r>
        <w:rPr>
          <w:rFonts w:ascii="Calibri" w:hAnsi="Calibri"/>
          <w:b w:val="0"/>
          <w:color w:val="3A4A28"/>
          <w:sz w:val="20"/>
        </w:rPr>
        <w:t>Potash and phosphate commodity prices remain well below 2022 levels, and a global agricultural recession could further compress margins and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ICL's core business — physical extraction of potash and bromine from the Dead Sea, specialty chemical manufacturing, and fertilizer distribution — is structurally immune to AI substitution. Mining, chemical processing, and agricultural input supply chains require physical-world operations that AI cannot displace [1]. AI may modestly enhance ICL's precision agriculture offerings and optimize extraction/logistics processes, but the business is fundamentally protected by geological resource scarcity and regulatory barriers (7 pts AI Risk Protection) [3]. No quantifiable AI-derived revenue has been reported (0 pts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ICL Group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ICL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ICL Group corporate website and sustainability reports,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