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ICON</w:t>
      </w:r>
      <w:r>
        <w:rPr>
          <w:rFonts w:ascii="Calibri" w:hAnsi="Calibri"/>
          <w:b/>
          <w:color w:val="1A2010"/>
          <w:sz w:val="40"/>
        </w:rPr>
        <w:t xml:space="preserve">  Icon Energy Corp.</w:t>
      </w:r>
    </w:p>
    <w:p>
      <w:pPr>
        <w:spacing w:after="120"/>
      </w:pPr>
      <w:r>
        <w:rPr>
          <w:rFonts w:ascii="Calibri" w:hAnsi="Calibri"/>
          <w:b/>
          <w:color w:val="6E8450"/>
          <w:sz w:val="18"/>
        </w:rPr>
        <w:t>GROWTH SLEEVE · 2026-05-05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Marine Shipping · NASDAQ · Greece</w:t>
      </w:r>
    </w:p>
    <w:p>
      <w:pPr>
        <w:spacing w:after="80"/>
      </w:pPr>
      <w:r>
        <w:rPr>
          <w:rFonts w:ascii="Calibri" w:hAnsi="Calibri"/>
          <w:b w:val="0"/>
          <w:color w:val="3A4A28"/>
          <w:sz w:val="20"/>
        </w:rPr>
        <w:t>Icon Energy Corp. is an international shipping company providing worldwide seaborne transportation services for dry bulk cargoes via a fleet of oceangoing vessels. The company operates three vessels (including M/V Charlie added June 2025) on time charters linked to Baltic shipping indices. Incorporated in 2023 and based in Athens, Greece.</w:t>
      </w:r>
    </w:p>
    <w:p>
      <w:r>
        <w:rPr>
          <w:rFonts w:ascii="Calibri" w:hAnsi="Calibri"/>
          <w:b/>
          <w:color w:val="6E8450"/>
          <w:sz w:val="18"/>
        </w:rPr>
        <w:t>https://www.icon-nrg.com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Icon Energy doubled revenue from $5.3M to $11.26M in 2025 (112% YoY growth) through fleet expansion, adding M/V Charlie in June 2025 which drove 50% increase in operating days [1]. However, this is asset acquisition rather than genuine product innovation. AI Deployment (0/2): No evidence of AI deployment in operations or customer-facing services; the company operates traditional time-charter dry bulk shipping [1]. Market Share (0/2): Icon is a micro-cap with three vessels competing against thousands of dry bulk carriers globally — no meaningful market share or differentiation [1]. Pipeline (1/2): Visible near-term growth from M/V Charlie's new 16-20 month charter adding $7.2M contracted revenue, and Q1 2026 guidance of $3.5-3.7M [1]. R&amp;D Intensity (1/1): Average hire rate improvement from $8,600/day to $14,000/day (63% increase) demonstrates operational optimization in charter rate management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No mission, purpose, or vision statement found on Icon Energy's website or public materials. The company exists to generate charter revenue from dry bulk shipping with no articulated higher purpose [2]. Community Impact (0/2): No evidence of charitable programs, community investment, or social impact initiatives for this micro-cap shipping company [2]. Employee Retention (1/2): Very small organization (incorporated 2023) with CEO Ismini Evangelia Panagiotidi serving since inception — limited organizational data but stable leadership [2]. Insider Buying (1/2): CEO has maintained position since founding in 2023, suggesting alignment, but no specific insider purchase data available in public sources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255,586 shares x $1.16 stock price = $296,480 daily liquidity, well below the $1,000,000 minimum threshold [3]. Infrastructure score is automatically set to 0 regardless of other financial metrics. For reference: D/E of 162.6% reflects vessel financing, ROE is -25.3%, profit margin is -37.3%, and forward P/E is negative — all indicating a pre-profitability micro-cap shipping company with only $3.7M market cap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Icon Energy is a newly incorporated (2023) micro-cap shipping company with no articulated purpose beyond charter revenue generation. The company's short history, lack of mission, and purely transactional business model place it firmly in finite game territory. There is no evidence of long-term vision, cultural investment, or strategic thinking beyond near-term fleet utilization.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evident. Icon Energy exists to generate revenue from dry bulk shipping charters — there is no articulated vision of a better future, no purpose beyond profit, and no indication that leadership aspires to anything beyond maximizing charter rates and fleet utilization [2]. The company was incorporated in 2023 purely as a commercial shipping venture (0/3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Insufficient data to assess organizational trust. The company has 1.5 years average board tenure and 2.3 years management tenure, reflecting its 2023 incorporation rather than instability [2]. No public information on crew satisfaction, shore-based employee culture, or organizational practices. Too new and too small to evaluate meaningfully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infinite competitive mindset. Icon operates in a commodity shipping market where competition is purely on price (charter rates) and vessel availability [1]. The company's competitive language focuses on hire rates ($14,000/day vs $8,600/day) and contracted revenue — finite metrics with no indication of learning from rivals (0/1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strategic flexibility. Icon is a two-year-old company that has only operated dry bulk shipping since inception [1]. The company hasn't faced any strategic inflection point that would test existential flexibility. Adding a third vessel (M/V Charlie) is incremental expansion, not strategic evolution (0/2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 shown in founding and growing a shipping company during volatile freight markets, taking on vessel financing (162% D/E) to expand the fleet from one to three vessels in under two years [1]. However, this is standard entrepreneurial risk-taking rather than principled long-term investment over short-term returns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Icon Energy has demonstrated rapid revenue growth — 112% YoY to $11.26M in 2025 and Q1 2026 guidance of $3.5-3.7M (more than doubling from $1.5M in Q1 2025) — driven by fleet expansion to three vessels and average hire rate improvement from $8,600 to $14,000/day [1]. The new M/V Charlie charter adds $7.2M contracted revenue over 16-20 months, providing near-term visibility. In a strong dry bulk market, the company is scaling operationally at a micro-cap valuation.</w:t>
      </w:r>
    </w:p>
    <w:p>
      <w:pPr>
        <w:spacing w:after="120"/>
      </w:pPr>
      <w:r>
        <w:rPr>
          <w:rFonts w:ascii="Calibri" w:hAnsi="Calibri"/>
          <w:b w:val="0"/>
          <w:color w:val="3A4A28"/>
          <w:sz w:val="20"/>
        </w:rPr>
        <w:t>Icon Energy fails IOWN's fundamental investability requirements. Daily liquidity of ~$296K is far below the $1M minimum, making the stock untradeable for any institutional or meaningful retail position [3]. The company has a $3.7M market cap, negative 37% profit margins, negative 25% ROE, and D/E of 163% — a highly leveraged, pre-profitability micro-cap with no analyst coverage [3]. Incorporated in 2023 with no operational track record beyond two years, Icon offers no mission, no competitive moat, no AI exposure, and no governance framework beyond a small founding team in Athens. The stock has underperformed both the US shipping industry and the broader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M/V Charlie 16-20 month charter contract adding $7.2M in minimum contracted revenue beginning April 2026 [1]</w:t>
      </w:r>
    </w:p>
    <w:p>
      <w:pPr>
        <w:spacing w:before="40" w:after="40"/>
        <w:ind w:left="283"/>
      </w:pPr>
      <w:r>
        <w:rPr>
          <w:rFonts w:ascii="Calibri" w:hAnsi="Calibri"/>
          <w:b/>
          <w:color w:val="4A6B25"/>
          <w:sz w:val="20"/>
        </w:rPr>
        <w:t xml:space="preserve">2. </w:t>
      </w:r>
      <w:r>
        <w:rPr>
          <w:rFonts w:ascii="Calibri" w:hAnsi="Calibri"/>
          <w:b w:val="0"/>
          <w:color w:val="3A4A28"/>
          <w:sz w:val="20"/>
        </w:rPr>
        <w:t>Average hire rate improvement to $14,000/day suggesting favorable dry bulk market conditions for near-term cash generation [1]</w:t>
      </w:r>
    </w:p>
    <w:p>
      <w:pPr>
        <w:spacing w:before="40" w:after="40"/>
        <w:ind w:left="283"/>
      </w:pPr>
      <w:r>
        <w:rPr>
          <w:rFonts w:ascii="Calibri" w:hAnsi="Calibri"/>
          <w:b/>
          <w:color w:val="4A6B25"/>
          <w:sz w:val="20"/>
        </w:rPr>
        <w:t xml:space="preserve">3. </w:t>
      </w:r>
      <w:r>
        <w:rPr>
          <w:rFonts w:ascii="Calibri" w:hAnsi="Calibri"/>
          <w:b w:val="0"/>
          <w:color w:val="3A4A28"/>
          <w:sz w:val="20"/>
        </w:rPr>
        <w:t>Potential fleet expansion beyond three vessels if operating cash flow materializes and freight markets remain supportive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Catastrophic illiquidity — $296K daily trading volume makes position entry/exit practically impossible for IOWN-scale allocations [3]</w:t>
      </w:r>
    </w:p>
    <w:p>
      <w:pPr>
        <w:spacing w:before="40" w:after="40"/>
        <w:ind w:left="283"/>
      </w:pPr>
      <w:r>
        <w:rPr>
          <w:rFonts w:ascii="Calibri" w:hAnsi="Calibri"/>
          <w:b/>
          <w:color w:val="4A6B25"/>
          <w:sz w:val="20"/>
        </w:rPr>
        <w:t xml:space="preserve">2. </w:t>
      </w:r>
      <w:r>
        <w:rPr>
          <w:rFonts w:ascii="Calibri" w:hAnsi="Calibri"/>
          <w:b w:val="0"/>
          <w:color w:val="3A4A28"/>
          <w:sz w:val="20"/>
        </w:rPr>
        <w:t>Micro-cap leverage risk with 163% D/E, negative profitability, and $3.7M market cap creating existential vulnerability to freight rate downturns [3]</w:t>
      </w:r>
    </w:p>
    <w:p>
      <w:pPr>
        <w:spacing w:before="40" w:after="40"/>
        <w:ind w:left="283"/>
      </w:pPr>
      <w:r>
        <w:rPr>
          <w:rFonts w:ascii="Calibri" w:hAnsi="Calibri"/>
          <w:b/>
          <w:color w:val="4A6B25"/>
          <w:sz w:val="20"/>
        </w:rPr>
        <w:t xml:space="preserve">3. </w:t>
      </w:r>
      <w:r>
        <w:rPr>
          <w:rFonts w:ascii="Calibri" w:hAnsi="Calibri"/>
          <w:b w:val="0"/>
          <w:color w:val="3A4A28"/>
          <w:sz w:val="20"/>
        </w:rPr>
        <w:t>No competitive moat — three vessels in a global fleet of thousands with no technology differentiation, brand value, or contractual advantages beyond current charters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Dry bulk shipping is a physical-world operation that AI structurally cannot displace — cargo must be physically transported across oceans by vessels regardless of AI advancement [2]. The core business involves ship operations, crew management, port logistics, and mechanical maintenance that require physical presence and maritime expertise. AI may improve route optimization and fuel efficiency incrementally but cannot substitute for the fundamental service. AI Opportunity (0/1): No evidence of AI-generated revenue; Icon operates traditional time-charter shipping with no technology differentiation or AI-powered services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Icon Energy Corp. commercial updates — Q1 2026 revenue guidance $3.5-3.7M, M/V Charlie charter $7.2M, hire rates $14,000/day, March-April 2026</w:t>
      </w:r>
    </w:p>
    <w:p>
      <w:pPr>
        <w:spacing w:before="20" w:after="20"/>
        <w:ind w:left="170"/>
      </w:pPr>
      <w:r>
        <w:rPr>
          <w:rFonts w:ascii="Calibri" w:hAnsi="Calibri"/>
          <w:b/>
          <w:color w:val="4A6B25"/>
          <w:sz w:val="15"/>
        </w:rPr>
        <w:t xml:space="preserve">2. </w:t>
      </w:r>
      <w:r>
        <w:rPr>
          <w:rFonts w:ascii="Calibri" w:hAnsi="Calibri"/>
          <w:b w:val="0"/>
          <w:color w:val="3A4A28"/>
          <w:sz w:val="17"/>
        </w:rPr>
        <w:t>Icon Energy Corp. company profile — Yahoo Finance, Simply Wall St, CEO Ismini Evangelia Panagiotidi, management analysis,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ICON, retrieved May 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