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IEP</w:t>
      </w:r>
      <w:r>
        <w:rPr>
          <w:rFonts w:ascii="Calibri" w:hAnsi="Calibri"/>
          <w:b/>
          <w:color w:val="1A2010"/>
          <w:sz w:val="40"/>
        </w:rPr>
        <w:t xml:space="preserve">  Icahn Enterprises L.P.</w:t>
      </w:r>
    </w:p>
    <w:p>
      <w:pPr>
        <w:spacing w:after="120"/>
      </w:pPr>
      <w:r>
        <w:rPr>
          <w:rFonts w:ascii="Calibri" w:hAnsi="Calibri"/>
          <w:b/>
          <w:color w:val="6E8450"/>
          <w:sz w:val="18"/>
        </w:rPr>
        <w:t>DIVIDEND SLEEVE · 2026-05-04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Diversified Conglomerate · NASDAQ · United States</w:t>
      </w:r>
    </w:p>
    <w:p>
      <w:pPr>
        <w:spacing w:after="80"/>
      </w:pPr>
      <w:r>
        <w:rPr>
          <w:rFonts w:ascii="Calibri" w:hAnsi="Calibri"/>
          <w:b w:val="0"/>
          <w:color w:val="3A4A28"/>
          <w:sz w:val="20"/>
        </w:rPr>
        <w:t>Icahn Enterprises L.P. is a diversified holding company controlled by activist investor Carl Icahn, engaged in investment management, energy (CVR Energy oil refining and nitrogen fertilizers), automotive parts (Icahn Automotive), food packaging, metals, real estate, and home fashion. The company operates as a master limited partnership.</w:t>
      </w:r>
    </w:p>
    <w:p>
      <w:r>
        <w:rPr>
          <w:rFonts w:ascii="Calibri" w:hAnsi="Calibri"/>
          <w:b/>
          <w:color w:val="6E8450"/>
          <w:sz w:val="18"/>
        </w:rPr>
        <w:t>13,562 Employees · https://www.ielp.com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Icahn Enterprises has not launched new products or executed meaningful business pivots in the last five years. The company has been in contraction mode — revenue declined from $14.1B in 2022 to $9.3B in 2025, a 34% decline driven by asset dispositions and weakness across segments [1]. The core strategy remains Carl Icahn's activist investment approach, unchanged for decades. AI Deployment (0/2): No AI-powered products or quantified AI-driven efficiency gains. CVR Energy (the largest subsidiary) has not announced AI deployment for refinery optimization [3]. Market Share (1/2): CVR Energy operates two petroleum refineries with ~206,000 bpd capacity and is a meaningful regional refiner. CVR Partners is a nitrogen fertilizer producer with established market presence [1]. Pipeline (1/2): Forward P/E of 10.3x suggests some analyst expectations of earnings recovery, and the Q1 2026 results announcement on May 6 may provide guidance [2]. R&amp;D Intensity (0/1): No meaningful R&amp;D activity; the company is a financial holding structure, not a technology innovator.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Icahn Enterprises has no articulated mission, purpose, or vision beyond generating returns for unitholders. Carl Icahn's philosophy is explicitly about activist investing to unlock shareholder value — a purely financial objective with no broader purpose [3]. Community Impact (1/2): CVR Energy and its subsidiaries employ 13,562 workers across energy and manufacturing operations, providing economic activity in refining communities. However, no evidence of distinctive charitable programs or community investment [1]. Employee Retention (1/2): Mixed employee culture — Glassdoor reviews describe good compensation but toxic leadership culture with 'zero flexibility or compassion from leaders' and employees feeling like 'cogs in the wheel' [4]. Insider Buying (1/2): Limited insider activity — CFO Ted Papapostolou received shares in September 2024. Carl Icahn's ownership is primarily through the partnership structure rather than open-market purchases, and his SEC settlement for undisclosed margin loan pledges raises governance concerns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IEP's financial profile reflects a declining conglomerate under pressure. D/E of 207% is elevated, reflecting significant leverage across the holding structure [6]. ROE is negative at -8.1%, with net losses of -$299M in 2025 (an improvement from -$445M in 2024 and -$684M in 2023) [1]. Revenue grew 5.9% in the latest quarter but the 3-year trend is sharply negative — from $14.1B (2022) to $9.3B (2025), a ~13% annual decline [1]. Forward P/E of 10.3x is cheap but reflects market skepticism. Profit margin is -3.1% [6]. The dividend has been cut three consecutive years: $8 (2019-2022) to $6 (2023) to $3.50 (2024) to $2.00 (2025), destroying the growth streak entirely. Payout ratio appears low at 25% but earnings are negative, making this metric misleading [6]. Liquidity passes: 912K avg volume x $8.35 = $7.6M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Icahn Enterprises is the embodiment of finite game thinking. Carl Icahn's activist investing model is explicitly about 'winning' — taking positions, forcing change, and extracting value. The company's declining revenue, serial dividend cuts, and SEC settlement for undisclosed margin pledges all reflect a structure optimized for Carl Icahn's personal financial engineering rather than building enduring enterprise value. The key-man risk is existential — there is no evident succession plan for an 90-year-old founder.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 1/10): Icahn Enterprises exists to generate returns through Carl Icahn's activist investment approach. There is no articulated vision of a better future — the company's purpose is explicitly financial: identify undervalued companies, take activist positions, and extract returns. This is the definition of playing to win rather than playing to keep playing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Glassdoor reviews paint a low-trust environment — 'zero flexibility or compassion from leaders,' 'culture is terrible,' and employees feeling like 'cogs in the wheel' [4]. The Carl Icahn-dominated governance structure concentrates decision-making at the top. The SEC settlement over undisclosed margin loan pledges ($2M fine) demonstrates governance opacity that undermines organizational trust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Carl Icahn's competitive language is fundamentally finite — he is famous for hostile takeovers, proxy fights, and forcing management changes. The activist model treats companies as adversaries to be conquered rather than worthy rivals to learn from. Jim Cramer called IEP 'one of the great bear calls I have seen in my life,' reflecting how the market views Icahn's competitive approach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 2/10): Icahn Enterprises has not demonstrated meaningful strategic reinvention. The conglomerate structure has contracted from $14.1B to $9.3B revenue over three years through asset dispositions rather than transformation [1]. The core business model of activist investing has been unchanged for 40+ years. The company is shrinking rather than evolving.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Carl Icahn has demonstrated willingness to take large, concentrated positions that require conviction — maintaining the IEP structure through the Hindenburg short attack in 2023 and continuing to operate despite $1.4B in cumulative net losses over 2022-2025 [1]. Cutting the dividend from $8 to $2 over three years, while painful, preserved capital. However, these decisions serve Icahn's personal financial interests (he controls ~85% of units) rather than unitholders broadly.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Icahn Enterprises trades at a forward P/E of 10.3x with a 24% dividend yield, offering deep value if the conglomerate can stabilize earnings. Net losses narrowed from -$684M (2023) to -$445M (2024) to -$299M (2025), suggesting an improving trajectory toward profitability [1]. CVR Energy's refining operations provide tangible asset backing, and the latest quarter showed 5.9% revenue growth, beating analyst estimates by 10.4% [2]. At $8.35 per unit, the stock has been de-risked from its 2023 peak of $50+ following the Hindenburg report, SEC settlement, and serial dividend cuts — most of the bad news is priced in. Forward EPS of $0.81 suggests analysts expect a return to profitability in 2026.</w:t>
      </w:r>
    </w:p>
    <w:p>
      <w:pPr>
        <w:spacing w:after="120"/>
      </w:pPr>
      <w:r>
        <w:rPr>
          <w:rFonts w:ascii="Calibri" w:hAnsi="Calibri"/>
          <w:b w:val="0"/>
          <w:color w:val="3A4A28"/>
          <w:sz w:val="20"/>
        </w:rPr>
        <w:t>The bear case centers on structural decline and key-man risk. Revenue has contracted 34% from $14.1B (2022) to $9.3B (2025), reflecting asset dispositions and weak operating performance across segments [1]. Cumulative net losses exceed $1.4B over 2022-2025. The dividend has been slashed 75% from $8 to $2, and may face further cuts if losses continue. Carl Icahn is 90 years old with no clear succession plan — his departure would remove the entire investment thesis and governance framework [3]. The SEC settlement for undisclosed margin loan pledges ($2M fine) exposed governance weakness, and Hindenburg's characterization of IEP as a 'Ponzi-like structure' — while dismissed by the SEC — highlighted real concerns about NAV transparency and self-dealing [5]. D/E of 207% creates financial fragility, and the MLP structure means investors face complex K-1 tax reporting with no voting rights.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to profitability in 2026 — forward EPS of $0.81 suggests analysts expect positive earnings, which would support the $2/unit dividend and potentially allow reinstatement of growth [2]</w:t>
      </w:r>
    </w:p>
    <w:p>
      <w:pPr>
        <w:spacing w:before="40" w:after="40"/>
        <w:ind w:left="283"/>
      </w:pPr>
      <w:r>
        <w:rPr>
          <w:rFonts w:ascii="Calibri" w:hAnsi="Calibri"/>
          <w:b/>
          <w:color w:val="4A6B25"/>
          <w:sz w:val="20"/>
        </w:rPr>
        <w:t xml:space="preserve">2. </w:t>
      </w:r>
      <w:r>
        <w:rPr>
          <w:rFonts w:ascii="Calibri" w:hAnsi="Calibri"/>
          <w:b w:val="0"/>
          <w:color w:val="3A4A28"/>
          <w:sz w:val="20"/>
        </w:rPr>
        <w:t>CVR Energy margin recovery — improved refining crack spreads and fertilizer pricing could drive segment profitability given the 206,000 bpd capacity [1]</w:t>
      </w:r>
    </w:p>
    <w:p>
      <w:pPr>
        <w:spacing w:before="40" w:after="40"/>
        <w:ind w:left="283"/>
      </w:pPr>
      <w:r>
        <w:rPr>
          <w:rFonts w:ascii="Calibri" w:hAnsi="Calibri"/>
          <w:b/>
          <w:color w:val="4A6B25"/>
          <w:sz w:val="20"/>
        </w:rPr>
        <w:t xml:space="preserve">3. </w:t>
      </w:r>
      <w:r>
        <w:rPr>
          <w:rFonts w:ascii="Calibri" w:hAnsi="Calibri"/>
          <w:b w:val="0"/>
          <w:color w:val="3A4A28"/>
          <w:sz w:val="20"/>
        </w:rPr>
        <w:t>Q1 2026 earnings report on May 6 could demonstrate continued narrowing of net losses and revenue stabilization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Key-man risk — Carl Icahn is 90 years old with no articulated succession plan, and his departure would fundamentally alter the company's investment strategy and governance [3]</w:t>
      </w:r>
    </w:p>
    <w:p>
      <w:pPr>
        <w:spacing w:before="40" w:after="40"/>
        <w:ind w:left="283"/>
      </w:pPr>
      <w:r>
        <w:rPr>
          <w:rFonts w:ascii="Calibri" w:hAnsi="Calibri"/>
          <w:b/>
          <w:color w:val="4A6B25"/>
          <w:sz w:val="20"/>
        </w:rPr>
        <w:t xml:space="preserve">2. </w:t>
      </w:r>
      <w:r>
        <w:rPr>
          <w:rFonts w:ascii="Calibri" w:hAnsi="Calibri"/>
          <w:b w:val="0"/>
          <w:color w:val="3A4A28"/>
          <w:sz w:val="20"/>
        </w:rPr>
        <w:t>Continued NAV erosion and further dividend cuts if operating losses persist across the diversified portfolio of energy, automotive, and investment segments [1]</w:t>
      </w:r>
    </w:p>
    <w:p>
      <w:pPr>
        <w:spacing w:before="40" w:after="40"/>
        <w:ind w:left="283"/>
      </w:pPr>
      <w:r>
        <w:rPr>
          <w:rFonts w:ascii="Calibri" w:hAnsi="Calibri"/>
          <w:b/>
          <w:color w:val="4A6B25"/>
          <w:sz w:val="20"/>
        </w:rPr>
        <w:t xml:space="preserve">3. </w:t>
      </w:r>
      <w:r>
        <w:rPr>
          <w:rFonts w:ascii="Calibri" w:hAnsi="Calibri"/>
          <w:b w:val="0"/>
          <w:color w:val="3A4A28"/>
          <w:sz w:val="20"/>
        </w:rPr>
        <w:t>SEC and litigation overhang — the 2024 settlement for undisclosed margin loan pledges damaged credibility, and future governance issues could emerge given the concentrated ownership structure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Icahn Enterprises' core revenue generators — CVR Energy's oil refining operations, nitrogen fertilizer production, and automotive parts distribution — are physical-world businesses that AI cannot replace. Refineries require complex physical infrastructure, regulatory compliance, and operational expertise that AI augments but does not substitute [3]. The automotive parts and metals businesses involve physical supply chain operations. However, the investment management segment faces competitive pressure as AI-driven quantitative strategies gain market share. CVR Energy's smaller scale may limit its ability to invest in AI-driven refinery optimization compared to larger peers [3]. AI Opportunity (1/1): CVR Energy could benefit from AI-driven process optimization in refining operations, and the investment management arm could deploy AI for portfolio analytics, though no specific AI revenue is currently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Analysis — Icahn Enterprises revenue history: $14.1B (2022) to $9.3B (2025), net losses $1.4B cumulative, accessed May 2026</w:t>
      </w:r>
    </w:p>
    <w:p>
      <w:pPr>
        <w:spacing w:before="20" w:after="20"/>
        <w:ind w:left="170"/>
      </w:pPr>
      <w:r>
        <w:rPr>
          <w:rFonts w:ascii="Calibri" w:hAnsi="Calibri"/>
          <w:b/>
          <w:color w:val="4A6B25"/>
          <w:sz w:val="15"/>
        </w:rPr>
        <w:t xml:space="preserve">2. </w:t>
      </w:r>
      <w:r>
        <w:rPr>
          <w:rFonts w:ascii="Calibri" w:hAnsi="Calibri"/>
          <w:b w:val="0"/>
          <w:color w:val="3A4A28"/>
          <w:sz w:val="17"/>
        </w:rPr>
        <w:t>Nasdaq / MarketBeat — IEP Q4 2025 earnings: revenue beat +10.4%, earnings miss, Q1 2026 call May 6, 2026</w:t>
      </w:r>
    </w:p>
    <w:p>
      <w:pPr>
        <w:spacing w:before="20" w:after="20"/>
        <w:ind w:left="170"/>
      </w:pPr>
      <w:r>
        <w:rPr>
          <w:rFonts w:ascii="Calibri" w:hAnsi="Calibri"/>
          <w:b/>
          <w:color w:val="4A6B25"/>
          <w:sz w:val="15"/>
        </w:rPr>
        <w:t xml:space="preserve">3. </w:t>
      </w:r>
      <w:r>
        <w:rPr>
          <w:rFonts w:ascii="Calibri" w:hAnsi="Calibri"/>
          <w:b w:val="0"/>
          <w:color w:val="3A4A28"/>
          <w:sz w:val="17"/>
        </w:rPr>
        <w:t>Wikipedia / Carl Icahn biography — IEP company structure, activist investment philosophy, 90-year-old founder</w:t>
      </w:r>
    </w:p>
    <w:p>
      <w:pPr>
        <w:spacing w:before="20" w:after="20"/>
        <w:ind w:left="170"/>
      </w:pPr>
      <w:r>
        <w:rPr>
          <w:rFonts w:ascii="Calibri" w:hAnsi="Calibri"/>
          <w:b/>
          <w:color w:val="4A6B25"/>
          <w:sz w:val="15"/>
        </w:rPr>
        <w:t xml:space="preserve">4. </w:t>
      </w:r>
      <w:r>
        <w:rPr>
          <w:rFonts w:ascii="Calibri" w:hAnsi="Calibri"/>
          <w:b w:val="0"/>
          <w:color w:val="3A4A28"/>
          <w:sz w:val="17"/>
        </w:rPr>
        <w:t>Glassdoor — Icahn Enterprises employee reviews: 'zero flexibility,' 'culture is terrible,' compensation positive</w:t>
      </w:r>
    </w:p>
    <w:p>
      <w:pPr>
        <w:spacing w:before="20" w:after="20"/>
        <w:ind w:left="170"/>
      </w:pPr>
      <w:r>
        <w:rPr>
          <w:rFonts w:ascii="Calibri" w:hAnsi="Calibri"/>
          <w:b/>
          <w:color w:val="4A6B25"/>
          <w:sz w:val="15"/>
        </w:rPr>
        <w:t xml:space="preserve">5. </w:t>
      </w:r>
      <w:r>
        <w:rPr>
          <w:rFonts w:ascii="Calibri" w:hAnsi="Calibri"/>
          <w:b w:val="0"/>
          <w:color w:val="3A4A28"/>
          <w:sz w:val="17"/>
        </w:rPr>
        <w:t>SEC Press Release 2024-99 — Carl Icahn and IEP charged for failing to disclose securities pledges as margin loan collateral, $2M settlement</w:t>
      </w:r>
    </w:p>
    <w:p>
      <w:pPr>
        <w:spacing w:before="20" w:after="20"/>
        <w:ind w:left="170"/>
      </w:pPr>
      <w:r>
        <w:rPr>
          <w:rFonts w:ascii="Calibri" w:hAnsi="Calibri"/>
          <w:b/>
          <w:color w:val="4A6B25"/>
          <w:sz w:val="15"/>
        </w:rPr>
        <w:t xml:space="preserve">6. </w:t>
      </w:r>
      <w:r>
        <w:rPr>
          <w:rFonts w:ascii="Calibri" w:hAnsi="Calibri"/>
          <w:b w:val="0"/>
          <w:color w:val="3A4A28"/>
          <w:sz w:val="17"/>
        </w:rPr>
        <w:t>Yahoo Finance — IEP key statistics, D/E 207%, ROE -8.1%, forward P/E 10.3x,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