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IE</w:t>
      </w:r>
      <w:r>
        <w:rPr>
          <w:rFonts w:ascii="Calibri" w:hAnsi="Calibri"/>
          <w:b/>
          <w:color w:val="1A2010"/>
          <w:sz w:val="40"/>
        </w:rPr>
        <w:t xml:space="preserve">  Ivanhoe Electric Inc.</w:t>
      </w:r>
    </w:p>
    <w:p>
      <w:pPr>
        <w:spacing w:after="120"/>
      </w:pPr>
      <w:r>
        <w:rPr>
          <w:rFonts w:ascii="Calibri" w:hAnsi="Calibri"/>
          <w:b/>
          <w:color w:val="6E8450"/>
          <w:sz w:val="18"/>
        </w:rPr>
        <w:t>GROWTH SLEEVE · 2026-04-19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 United States</w:t>
      </w:r>
    </w:p>
    <w:p>
      <w:pPr>
        <w:spacing w:after="80"/>
      </w:pPr>
      <w:r>
        <w:rPr>
          <w:rFonts w:ascii="Calibri" w:hAnsi="Calibri"/>
          <w:b w:val="0"/>
          <w:color w:val="3A4A28"/>
          <w:sz w:val="20"/>
        </w:rPr>
        <w:t>Ivanhoe Electric is a U.S.-based mineral exploration and development company focused on copper and critical metals. Its flagship asset is the Santa Cruz copper project in Arizona. The company also owns 94% of Computational Geosciences Inc. (CGI), which develops proprietary Typhoon geophysical surveying technology using AI/ML for mineral discovery. It has exploration joint ventures with Ma'aden in Saudi Arabia and SQM in Chile.</w:t>
      </w:r>
    </w:p>
    <w:p>
      <w:r>
        <w:rPr>
          <w:rFonts w:ascii="Calibri" w:hAnsi="Calibri"/>
          <w:b/>
          <w:color w:val="6E8450"/>
          <w:sz w:val="18"/>
        </w:rPr>
        <w:t>286 Employees · https://ivanhoeelectric.com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Ivanhoe Electric was founded in 2020 and has advanced the Santa Cruz copper project through permitting milestones while developing the Typhoon geophysical surveying platform, but has not yet produced copper or generated meaningful product revenue — still pre-production after 5+ years [1][2]. AI Deployment (2/2): The company's 94%-owned Computational Geosciences Inc. deploys ML-driven tools fully integrated with the Typhoon system, reducing complex 3D inversion modeling from weeks to minutes and delivering results within 24 hours of receiving terabytes of raw survey data — measurable operational efficiency with real deployment [3]. Market Share (1/2): Ivanhoe Electric's Typhoon technology is a differentiated tool in mineral exploration, validated by partnerships with Saudi Arabia's Ma'aden and Chile's SQM, though the company remains a small explorer in the global copper market [2][3]. Pipeline (1/2): The Santa Cruz copper project has cleared final land hurdles with visible development timeline, and Typhoon-driven exploration in Saudi Arabia has yielded a discovery — but specific production dates and revenue projections remain uncertain [2]. R&amp;D Intensity (1/1): Significant R&amp;D investment in Typhoon and CGI computational technologies relative to the company's $3.2M revenue base, with technology development consuming a meaningful share of the $89M annual operating spend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Ivanhoe Electric's purpose centers on 'discovering and developing critical mineral resources in the United States' — clear and timely given the critical minerals security agenda, but not deeply distinctive or transformative beyond the obvious opportunity [2]. Community Impact (1/2): The company has embedded ESG criteria from earliest exploration stages, established a Health, Safety and Environmental Committee in February 2024, and engages with local and Tribal communities in Arizona — standard for responsible mining but not exceptional [4]. Employee Retention (1/2): With 286 employees and CEO Taylor Melvin (appointed November 2022, 3+ year tenure) plus legendary mining entrepreneur Robert Friedland as Executive Chairman (30+ years of industry experience), the leadership team provides credibility and stability (1 pt) [3]. Insider Buying (1/2): No meaningful open-market insider purchases found; insider transactions show primarily stock award grants and some concurrent sales by officers to cover taxes, which is neutral to slightly negative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Ivanhoe Electric's financial profile reflects a pre-revenue exploration company: $3.2M in revenue (down 32.7% YoY, 3-year CAGR of -27.3%) from CGI data processing services, with $89M annual operating cash outflow and breakeven profit margin [1]. The balance sheet is clean with D/E of only 8.5% and $173M cash against $36M debt, providing reasonable runway for a development-stage company [1]. However, ROE of -35.5%, negative forward P/E, and declining revenue all score 0.0 on the mechanical calculation. The only positive metric is the exceptionally low D/E ratio scoring 1.0. The $2.4B market cap is entirely driven by the optionality value of the Santa Cruz copper project, not by current financial performance. Liquidity floor cleared: $15.40 × 2.16M avg daily volume = $33.2M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Ivanhoe Electric demonstrates meaningful infinite game characteristics through its long-term vision of building U.S. critical mineral supply infrastructure, willingness to invest heavily in pre-revenue exploration, and the multi-decade track record of Executive Chairman Robert Friedland in building mining companies. However, the company has not yet been tested through a full cycle, and the focus on 'winning' the critical minerals race suggests some finite competitive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Ivanhoe Electric's vision — securing America's critical mineral supply through technology-driven exploration — connects to a genuine larger purpose beyond profit, particularly given national security implications of mineral dependence on adversarial nations (2 pts) [2]. The cause is specific and timely, though it hasn't been validated through decades of execution as the company was founded in 2020.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Taylor Melvin brings 20+ years of natural resources experience, and Executive Chairman Robert Friedland's legendary 30+ year track record in building mining companies (Ivanhoe Mines/Turquoise Hill) provides organizational credibility (1 pt) [3]. With 286 employees and dedicated sustainability practices, the company has built a functional team, though no exceptional trust indicators are publicly documented.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in public communications — Ivanhoe Electric's messaging focuses on proprietary Typhoon technology superiority and 'disruptive' advantage over conventional exploration methods (0 pts) [3]. The company does not publicly acknowledge learning from competitors like Freeport-McMoRan or BHP in copper mining.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Ivanhoe Electric has evolved from a pure exploration company to a multi-segment business spanning copper mining, critical metals, data processing services (CGI), and energy storage — showing willingness to expand beyond the original core (1 pt) [2]. The Typhoon technology licensing model (Ma'aden, SQM partnerships) represents flexible commercialization of capabilities, though the core copper focus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committed $89M+ in annual operating expenditure on pre-revenue exploration and technology development, accepting years of losses to build long-term mineral assets (1 pt) [1]. Robert Friedland's career pattern of making large contrarian bets in mining (previously with Ivanhoe Mines in Mongolia) demonstrates institutional courage. However, this is standard for the mining development stage rather than a choice that cost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Ivanhoe Electric is a high-optionality copper exploration play with a $2.4B market cap driven by the Santa Cruz copper project in Arizona — a tier-one U.S. copper asset that cleared its final land permitting hurdle in early 2026 [2]. The company's proprietary Typhoon geophysical technology, deployed through 94%-owned CGI, has been validated by a discovery in Saudi Arabia and partnerships with Ma'aden and SQM in Chile [3]. The secular copper demand thesis is powerful: AI data centers, EVs, and electrification all require significantly more copper, and U.S.-sourced supply commands strategic premium in the current geopolitical environment. Executive Chairman Robert Friedland's track record of building world-class mines (Ivanhoe Mines/Turquoise Hill) provides management credibility, and the clean balance sheet ($173M cash, 8.5% D/E) provides development runway [1].</w:t>
      </w:r>
    </w:p>
    <w:p>
      <w:pPr>
        <w:spacing w:after="120"/>
      </w:pPr>
      <w:r>
        <w:rPr>
          <w:rFonts w:ascii="Calibri" w:hAnsi="Calibri"/>
          <w:b w:val="0"/>
          <w:color w:val="3A4A28"/>
          <w:sz w:val="20"/>
        </w:rPr>
        <w:t>The bear case centers on the fundamental pre-revenue nature of this investment. Revenue of $3.2M (declining 32.7% YoY) from CGI data services is negligible relative to the $2.4B market cap, making this a pure optionality bet on Santa Cruz's development [1]. The $89M annual operating cash burn against $173M cash provides only ~2 years of runway before additional capital raises (likely dilutive) are needed. The Santa Cruz project faces execution risks including construction costs, timeline delays, and potential environmental opposition common to Arizona mining projects. Copper price cyclicality could dramatically impact project economics if prices decline during the multi-year development period. The forward P/E is meaningless (negative), and the stock trades entirely on NAV/optionality models that embed significant assumption risk. Insider selling by officers (even if tax-related) does not inspire confidence for a pre-revenue company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Santa Cruz copper project advancing through construction milestones after clearing final land permitting hurdle, with potential to become a major U.S. copper producer [2]</w:t>
      </w:r>
    </w:p>
    <w:p>
      <w:pPr>
        <w:spacing w:before="40" w:after="40"/>
        <w:ind w:left="283"/>
      </w:pPr>
      <w:r>
        <w:rPr>
          <w:rFonts w:ascii="Calibri" w:hAnsi="Calibri"/>
          <w:b/>
          <w:color w:val="4A6B25"/>
          <w:sz w:val="20"/>
        </w:rPr>
        <w:t xml:space="preserve">2. </w:t>
      </w:r>
      <w:r>
        <w:rPr>
          <w:rFonts w:ascii="Calibri" w:hAnsi="Calibri"/>
          <w:b w:val="0"/>
          <w:color w:val="3A4A28"/>
          <w:sz w:val="20"/>
        </w:rPr>
        <w:t>Typhoon technology validation through additional discoveries in the Ma'aden Saudi Arabia and SQM Chile joint ventures, demonstrating platform scalability [3]</w:t>
      </w:r>
    </w:p>
    <w:p>
      <w:pPr>
        <w:spacing w:before="40" w:after="40"/>
        <w:ind w:left="283"/>
      </w:pPr>
      <w:r>
        <w:rPr>
          <w:rFonts w:ascii="Calibri" w:hAnsi="Calibri"/>
          <w:b/>
          <w:color w:val="4A6B25"/>
          <w:sz w:val="20"/>
        </w:rPr>
        <w:t xml:space="preserve">3. </w:t>
      </w:r>
      <w:r>
        <w:rPr>
          <w:rFonts w:ascii="Calibri" w:hAnsi="Calibri"/>
          <w:b w:val="0"/>
          <w:color w:val="3A4A28"/>
          <w:sz w:val="20"/>
        </w:rPr>
        <w:t>Rising copper prices driven by AI data center buildout and electrification demand, increasing the NPV of the Santa Cruz resource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cash burn — $89M annual operating outflow against $173M cash implies ~2 years of runway before potentially dilutive equity raises [1]</w:t>
      </w:r>
    </w:p>
    <w:p>
      <w:pPr>
        <w:spacing w:before="40" w:after="40"/>
        <w:ind w:left="283"/>
      </w:pPr>
      <w:r>
        <w:rPr>
          <w:rFonts w:ascii="Calibri" w:hAnsi="Calibri"/>
          <w:b/>
          <w:color w:val="4A6B25"/>
          <w:sz w:val="20"/>
        </w:rPr>
        <w:t xml:space="preserve">2. </w:t>
      </w:r>
      <w:r>
        <w:rPr>
          <w:rFonts w:ascii="Calibri" w:hAnsi="Calibri"/>
          <w:b w:val="0"/>
          <w:color w:val="3A4A28"/>
          <w:sz w:val="20"/>
        </w:rPr>
        <w:t>Santa Cruz execution risk — construction cost overruns, permitting delays, or environmental opposition could push the production timeline and increase capital requirements [2]</w:t>
      </w:r>
    </w:p>
    <w:p>
      <w:pPr>
        <w:spacing w:before="40" w:after="40"/>
        <w:ind w:left="283"/>
      </w:pPr>
      <w:r>
        <w:rPr>
          <w:rFonts w:ascii="Calibri" w:hAnsi="Calibri"/>
          <w:b/>
          <w:color w:val="4A6B25"/>
          <w:sz w:val="20"/>
        </w:rPr>
        <w:t xml:space="preserve">3. </w:t>
      </w:r>
      <w:r>
        <w:rPr>
          <w:rFonts w:ascii="Calibri" w:hAnsi="Calibri"/>
          <w:b w:val="0"/>
          <w:color w:val="3A4A28"/>
          <w:sz w:val="20"/>
        </w:rPr>
        <w:t>Copper price cyclicality — a decline in copper prices during the multi-year development period could compress project economics and significantly reduce the stock's optionality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Ivanhoe Electric's core business — discovering and mining copper deposits — is fundamentally physical-world infrastructure that AI cannot displace [2]. Copper demand is actually accelerated by AI: data centers, electric vehicles, and renewable energy infrastructure all require massive copper inputs, making Ivanhoe a beneficiary of AI expansion rather than a victim. The mining permitting process, geological exploration, and physical extraction operations have no AI substitution risk. AI Opportunity (1/1): The company actively generates revenue from AI through its 94%-owned Computational Geosciences Inc., which sells AI/ML-powered Typhoon geophysical survey and 3D inversion modeling services to partners including Ma'aden and SQM [3]. CGI's machine learning tools have demonstrably reduced processing times from weeks to minutes, representing genuine AI-driven operational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 IE key statistics, financial data, revenue history, accessed April 19, 2026</w:t>
      </w:r>
    </w:p>
    <w:p>
      <w:pPr>
        <w:spacing w:before="20" w:after="20"/>
        <w:ind w:left="170"/>
      </w:pPr>
      <w:r>
        <w:rPr>
          <w:rFonts w:ascii="Calibri" w:hAnsi="Calibri"/>
          <w:b/>
          <w:color w:val="4A6B25"/>
          <w:sz w:val="15"/>
        </w:rPr>
        <w:t xml:space="preserve">2. </w:t>
      </w:r>
      <w:r>
        <w:rPr>
          <w:rFonts w:ascii="Calibri" w:hAnsi="Calibri"/>
          <w:b w:val="0"/>
          <w:color w:val="3A4A28"/>
          <w:sz w:val="17"/>
        </w:rPr>
        <w:t>Ivanhoe Electric corporate presentations — Santa Cruz project, company overview, exploration updates,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Ivanhoe Electric press releases — Typhoon technology, CGI AI/ML capabilities, Ma'aden and SQM partnerships, 2024-2026</w:t>
      </w:r>
    </w:p>
    <w:p>
      <w:pPr>
        <w:spacing w:before="20" w:after="20"/>
        <w:ind w:left="170"/>
      </w:pPr>
      <w:r>
        <w:rPr>
          <w:rFonts w:ascii="Calibri" w:hAnsi="Calibri"/>
          <w:b/>
          <w:color w:val="4A6B25"/>
          <w:sz w:val="15"/>
        </w:rPr>
        <w:t xml:space="preserve">4. </w:t>
      </w:r>
      <w:r>
        <w:rPr>
          <w:rFonts w:ascii="Calibri" w:hAnsi="Calibri"/>
          <w:b w:val="0"/>
          <w:color w:val="3A4A28"/>
          <w:sz w:val="17"/>
        </w:rPr>
        <w:t>Ivanhoe Electric Sustainability Report 2024 — ESG framework, community engagement, environmental practices</w:t>
      </w:r>
    </w:p>
    <w:p>
      <w:pPr>
        <w:spacing w:before="20" w:after="20"/>
        <w:ind w:left="170"/>
      </w:pPr>
      <w:r>
        <w:rPr>
          <w:rFonts w:ascii="Calibri" w:hAnsi="Calibri"/>
          <w:b/>
          <w:color w:val="4A6B25"/>
          <w:sz w:val="15"/>
        </w:rPr>
        <w:t xml:space="preserve">5. </w:t>
      </w:r>
      <w:r>
        <w:rPr>
          <w:rFonts w:ascii="Calibri" w:hAnsi="Calibri"/>
          <w:b w:val="0"/>
          <w:color w:val="3A4A28"/>
          <w:sz w:val="17"/>
        </w:rPr>
        <w:t>Yahoo Finance — IE insider transaction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