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IGR</w:t>
      </w:r>
      <w:r>
        <w:rPr>
          <w:rFonts w:ascii="Calibri" w:hAnsi="Calibri"/>
          <w:b/>
          <w:color w:val="1A2010"/>
          <w:sz w:val="40"/>
        </w:rPr>
        <w:t xml:space="preserve">  CBRE Clarion Global Real Estate Income Fund</w:t>
      </w:r>
    </w:p>
    <w:p>
      <w:pPr>
        <w:spacing w:after="120"/>
      </w:pPr>
      <w:r>
        <w:rPr>
          <w:rFonts w:ascii="Calibri" w:hAnsi="Calibri"/>
          <w:b/>
          <w:color w:val="6E8450"/>
          <w:sz w:val="18"/>
        </w:rPr>
        <w:t>DIVIDEND SLEEVE · 2026-05-03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Real Estate · NYSE · United States</w:t>
      </w:r>
    </w:p>
    <w:p>
      <w:pPr>
        <w:spacing w:after="80"/>
      </w:pPr>
      <w:r>
        <w:rPr>
          <w:rFonts w:ascii="Calibri" w:hAnsi="Calibri"/>
          <w:b w:val="0"/>
          <w:color w:val="3A4A28"/>
          <w:sz w:val="20"/>
        </w:rPr>
        <w:t>CBRE Clarion Global Real Estate Income Fund (IGR) is an actively managed closed-end fund investing in income-producing common equity and preferred stocks of global real estate companies and REITs across North America, Europe, Australia, and Asia. The fund's primary objective is high current income with capital appreciation as a secondary goal. It pays monthly distributions and trades at a premium/discount to NAV.</w:t>
      </w:r>
    </w:p>
    <w:p>
      <w:r>
        <w:rPr>
          <w:rFonts w:ascii="Calibri" w:hAnsi="Calibri"/>
          <w:b/>
          <w:color w:val="6E8450"/>
          <w:sz w:val="18"/>
        </w:rPr>
        <w:t>https://www.cbreim.com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IGR is a passive-strategy closed-end fund with no product launches, market pivots, or business model transformations — it has maintained the same global REIT equity income strategy since inception in 2004 [1]. AI Deployment (0/2): No AI-powered products, tools, or measurable AI-driven operational improvements. The fund employs traditional fundamental analysis for portfolio construction with no evidence of AI integration [1]. Market Share (1/2): CBRE Investment Management is a recognized name in real estate investment, providing some brand credibility, but IGR is one of many global REIT closed-end funds without distinctive market share leadership [1]. Pipeline (0/2): No next-generation products or strategic evolution announced; the fund continues its existing mandate with no pipeline visibility beyond the current strategy. R&amp;D Intensity (1/1): CBRE Clarion employs in-house fundamental research to construct its portfolio, consistent with industry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IGR's objective — high current income and capital appreciation through global real estate equities — is a financial return mandate, not a purpose statement. There is no articulated mission beyond generating income for shareholders, which is generic and interchangeable with any income-focused fund [1]. Community Impact (0/2): No evidence of charitable programs, community investment, or social impact initiatives specific to this closed-end fund. Employee Retention (0/2): As a closed-end fund managed by CBRE Investment Management, there is no employee base specific to IGR; retention data is not applicable. Insider Buying (1/2): No insider transaction data specific to this fund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IGR's infrastructure profile reflects the structural challenges of a leveraged closed-end fund distributing primarily return of capital. D/E of 48% is healthy (score 1.0), and profit margin of 41.7% scores 1.0 [3]. However, ROE of 2.4% is extremely weak (score 0.16), reflecting the fund's inability to generate meaningful returns on equity [3]. Revenue declined 15.3% YoY (score 0.16). The distribution profile is deeply problematic: the $0.72 annualized distribution on trailing EPS of $0.12 represents a 600% economic payout ratio (score 0), with 88% of distributions sourced from return of capital rather than investment income [1]. The distribution has been flat at $0.06/month with zero growth (scores 0 on both consecutive growth years and 5yr dividend CAGR). Consecutive years paid (20+) is the strongest metric at 1.0 with 2x weight. Liquidity floor cleared: 688K avg vol x $4.75 = $3.3M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IGR as a closed-end fund is structurally a finite game vehicle — it exists to generate current income for shareholders, not to advance a larger cause or build enduring capability. The fund has maintained the same strategy since 2004 without evolution, distributes primarily return of capital (eroding its own asset base), and has no articulated purpose beyond financial returns. This is quintessential finite-game behavior in Sinek's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IGR has no Just Cause. The fund exists to generate high current income from global real estate equities — this is a financial return objective, not a vision of a better future [1]. There is no articulated purpose that would inspire sacrifice or attract people to advance a cause. This is a pure financial instrument.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CBRE Investment Management, the fund's advisor, is a large institutional real estate manager with experienced portfolio managers and stable leadership. The parent organization provides adequate institutional infrastructure, but there is no fund-specific team data on trust, retention, or culture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the fund's management acknowledges competitors' strengths or uses competitive dynamics to improve. Closed-end funds generally do not engage in competitive improvement dialogue — they maintain their mandate and compete on performance metrics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fund has maintained the same global REIT equity income strategy since inception in 2004 with no strategic adaptation [1]. The distribution has been flat at $0.06/month. A closed-end fund's mandate is intentionally rigid, making existential flexibility structurally impossible absent a complete restructuring.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fund continues its static strategy and flat distribution policy. Distributing 88% of distributions as return of capital — gradually returning shareholders' own money to them — is the opposite of courageous leadership; it prioritizes maintaining a high headline yield over building long-term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IGR offers an exceptionally high distribution yield of 15.2% paid monthly, providing attractive current income for yield-focused investors. The fund's global diversification across real estate sectors (office, retail, industrial, healthcare, residential) and geographies (North America, Europe, Asia-Pacific) reduces single-market concentration risk [1]. D/E leverage of 48% is moderate for a closed-end fund, and the CBRE Investment Management brand provides institutional-quality portfolio management. At $4.75 per share, the fund provides monthly income of $0.06 with the backing of a real estate portfolio managed by one of the world's largest real estate investment managers.</w:t>
      </w:r>
    </w:p>
    <w:p>
      <w:pPr>
        <w:spacing w:after="120"/>
      </w:pPr>
      <w:r>
        <w:rPr>
          <w:rFonts w:ascii="Calibri" w:hAnsi="Calibri"/>
          <w:b w:val="0"/>
          <w:color w:val="3A4A28"/>
          <w:sz w:val="20"/>
        </w:rPr>
        <w:t>The bear case is severe: 88% of IGR's distribution is return of capital, meaning the fund is systematically returning shareholders' invested capital back to them rather than generating true income [1]. Trailing EPS of $0.12 supports only a fraction of the $0.72 annual distribution, making the 15% yield economically unsustainable. The fund's NAV has eroded over time (total return significantly underperforms direct REIT indexes), and the distribution has been flat at $0.06/month with zero growth, failing to keep pace with inflation. ROE of just 2.4% reflects the fund's inability to generate meaningful investment returns [3]. Revenue declined 15.3% YoY and net income has been wildly volatile ($17M in FY2025 vs. -$54M in FY2024 vs. $112M in FY2023). The closed-end fund structure charges management fees (~1.5%) plus leverage costs that drag on already-weak returns. Investors seeking real estate exposure would likely be better served by a low-cost REIT index ETF.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real estate recovery — if commercial real estate values stabilize and office vacancy rates improve, the fund's underlying portfolio could appreciate, supporting NAV growth [1]</w:t>
      </w:r>
    </w:p>
    <w:p>
      <w:pPr>
        <w:spacing w:before="40" w:after="40"/>
        <w:ind w:left="283"/>
      </w:pPr>
      <w:r>
        <w:rPr>
          <w:rFonts w:ascii="Calibri" w:hAnsi="Calibri"/>
          <w:b/>
          <w:color w:val="4A6B25"/>
          <w:sz w:val="20"/>
        </w:rPr>
        <w:t xml:space="preserve">2. </w:t>
      </w:r>
      <w:r>
        <w:rPr>
          <w:rFonts w:ascii="Calibri" w:hAnsi="Calibri"/>
          <w:b w:val="0"/>
          <w:color w:val="3A4A28"/>
          <w:sz w:val="20"/>
        </w:rPr>
        <w:t>Data center REIT exposure could benefit from AI infrastructure buildout driving demand for specialized real estate [1]</w:t>
      </w:r>
    </w:p>
    <w:p>
      <w:pPr>
        <w:spacing w:before="40" w:after="40"/>
        <w:ind w:left="283"/>
      </w:pPr>
      <w:r>
        <w:rPr>
          <w:rFonts w:ascii="Calibri" w:hAnsi="Calibri"/>
          <w:b/>
          <w:color w:val="4A6B25"/>
          <w:sz w:val="20"/>
        </w:rPr>
        <w:t xml:space="preserve">3. </w:t>
      </w:r>
      <w:r>
        <w:rPr>
          <w:rFonts w:ascii="Calibri" w:hAnsi="Calibri"/>
          <w:b w:val="0"/>
          <w:color w:val="3A4A28"/>
          <w:sz w:val="20"/>
        </w:rPr>
        <w:t>Interest rate cuts would reduce the fund's leverage costs and potentially drive REIT valuations higher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of capital distribution structure (88% ROC) systematically erodes NAV and will eventually force a distribution cut if underlying REIT performance does not improve [1]</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headwinds — persistent office vacancy, retail disruption from e-commerce, and rising insurance costs threaten the fund's REIT holdings [1]</w:t>
      </w:r>
    </w:p>
    <w:p>
      <w:pPr>
        <w:spacing w:before="40" w:after="40"/>
        <w:ind w:left="283"/>
      </w:pPr>
      <w:r>
        <w:rPr>
          <w:rFonts w:ascii="Calibri" w:hAnsi="Calibri"/>
          <w:b/>
          <w:color w:val="4A6B25"/>
          <w:sz w:val="20"/>
        </w:rPr>
        <w:t xml:space="preserve">3. </w:t>
      </w:r>
      <w:r>
        <w:rPr>
          <w:rFonts w:ascii="Calibri" w:hAnsi="Calibri"/>
          <w:b w:val="0"/>
          <w:color w:val="3A4A28"/>
          <w:sz w:val="20"/>
        </w:rPr>
        <w:t>Leverage amplifies losses in REIT downturns — the 48% D/E ratio means portfolio declines are magnified, and rising interest rates increase leverage costs that further drag on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IGR invests in global real estate equities and REITs — physical real estate assets that AI structurally cannot displace [1]. Office, retail, industrial, healthcare, and residential property values are determined by physical-world supply/demand dynamics, zoning, location, and capital markets conditions that are immune to AI substitution. REITs may benefit modestly from AI-driven demand for data center real estate, and property management can be made more efficient with AI tools, but the core asset class is not threatened. The fund management function itself faces some AI risk (algorithmic portfolio construction), but the underlying real estate exposure is inherently protected. AI Opportunity (0/1): No AI-generated revenue. The fund does not deploy AI products or generate income from AI-related investments in any measurable way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CBRE Investment Management — IGR fund page, distribution declarations, distribution source breakdown (88% ROC, 12% NII), accessed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IGR price, dividend history, fund overview,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IGR key statistics (P/E, D/E, ROE, margins, volume),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