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IMNM</w:t>
      </w:r>
      <w:r>
        <w:rPr>
          <w:rFonts w:ascii="Calibri" w:hAnsi="Calibri"/>
          <w:b/>
          <w:color w:val="1A2010"/>
          <w:sz w:val="40"/>
        </w:rPr>
        <w:t xml:space="preserve">  Immunome, Inc.</w:t>
      </w:r>
    </w:p>
    <w:p>
      <w:pPr>
        <w:spacing w:after="120"/>
      </w:pPr>
      <w:r>
        <w:rPr>
          <w:rFonts w:ascii="Calibri" w:hAnsi="Calibri"/>
          <w:b/>
          <w:color w:val="6E8450"/>
          <w:sz w:val="18"/>
        </w:rPr>
        <w:t>GROWTH SLEEVE · 2026-04-23 · Inspire: 15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Immunome is a clinical-stage targeted oncology company developing antibody-drug conjugates (ADCs), gamma secretase inhibitors, and radioligand therapies. Lead asset Varegacestat is a gamma secretase inhibitor in Phase 3 for desmoid tumors with NDA submission planned for Q2 2026. Pipeline includes IM-1021 (ROR1 ADC, Phase 1), IM-3050 (FAP radioligand), and three preclinical solid tumor ADCs.</w:t>
      </w:r>
    </w:p>
    <w:p>
      <w:r>
        <w:rPr>
          <w:rFonts w:ascii="Calibri" w:hAnsi="Calibri"/>
          <w:b/>
          <w:color w:val="6E8450"/>
          <w:sz w:val="18"/>
        </w:rPr>
        <w:t>177 Employees · https://immunome.com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Immunome executed a transformative reverse merger with Morphimmune in October 2023, pivoting from an early-stage antibody discovery platform to a clinical-stage oncology company with a late-stage asset [1]. The acquisition of Varegacestat from SpringWorks Therapeutics created a near-term commercial opportunity. AI Deployment (0/2): No evidence of AI-powered products or AI-driven cost savings; the company uses traditional drug development approaches [2]. Market Share (2/2): Varegacestat's Phase 3 RINGSIDE trial showed an 84% reduction in risk of disease progression or death versus placebo in desmoid tumors, positioning it as a potential first-in-class gamma secretase inhibitor for this indication with no approved standard-of-care [1]. Pipeline (2/2): Clear near-term catalysts with NDA submission planned Q2 2026, IM-1021 in Phase 1, IM-3050 IND cleared, and three additional solid tumor ADC INDs expected in 2026 [1]. R&amp;D Intensity (1/1): R&amp;D spending of $177.3M in 2025 dwarfs the company's minimal revenue, reflecting top-quartile intensity for a clinical-stage biotech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Immunome's stated purpose is to develop 'first-in-class and best-in-class targeted therapies designed to improve outcomes for cancer patients' — clear and patient-focused but standard biotech language without distinctive depth [2]. Community Impact (1/2): The company's focus on desmoid tumors, a rare and underserved condition with no approved therapies, represents meaningful patient impact for a small disease population [1]. Employee Retention (0/2): No public data on employee tenure or voluntary turnover for this 177-person company. Insider Buying (1/2): CEO Clay Siegall raised $460.5M in a December 2025 equity offering, demonstrating institutional conviction; however, insider transaction data shows mixed buying/selling patterns among executives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Immunome is a pre-commercial biotech burning $190.9M in operating cash flow annually with only $6.9M in trailing revenue [3]. The $653.5M cash position provides runway into 2028 but the company has no meaningful revenue base, zero profit margin, and deeply negative ROE of -52.1% [3]. D/E of 0.6% is excellent due to minimal debt ($3.9M vs. $653.5M cash), but this is the only positive metric. Forward P/E is negative (unprofitable), and revenue declined 100% YoY as legacy revenue rolled off [4]. Liquidity floor cleared: 1.27M avg vol × $23.78 = $30.1M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Immunome under Clay Siegall is playing a mixed game — the strategic pivot from antibody discovery to clinical oncology shows flexibility, but the company is fundamentally driven by near-term NDA filing and commercialization milestones rather than an enduring cause. The leadership team's ADC expertise (ADCETRIS, PADCEV, TIVDAK pedigree) brings deep domain knowledge but the company's short history post-merger limits evidence of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Immunome's purpose — improving outcomes for cancer patients through targeted therapies — is genuine but generic across the biotech industry [2]. The focus on desmoid tumors (an underserved rare disease) adds specificity, but the cause has not been tested through multiple market cycles or leadership transitions given the company's short post-merger history. Sinek would rate this as a cause that exists but hasn't proven durability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team has deep shared history — multiple executives worked together at Seagen developing ADCs like ADCETRIS and PADCEV [2]. This shared background suggests functional trust and collaboration. However, CEO Clay Siegall's departure from Seagen following a domestic assault arrest in 2022 (charges later dropped) creates governance risk and raises questions about leadership judgment [5]. The 177-person team is small enough for high cohesion but lacks public data on culture metrics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worthy rivals or using competitive dynamics for self-improvement. The company's competitive positioning is framed around 'first-in-class' and 'best-in-class' superiority language rather than learning from peers like Daiichi Sankyo, AbbVie, or Pfizer in the ADC space [2]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reverse merger with Morphimmune fundamentally reinvented Immunome from an early-stage antibody discovery platform into a clinical-stage oncology company with a Phase 3 asset [1]. This was a genuine strategic pivot that changed the company's identity and value proposition. However, the pivot was driven by opportunism (acquiring an undervalued asset) rather than service to an enduring cause, and the company is too young post-pivot to evaluate durability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Siegall raised $460.5M in equity in December 2025 — a dilutive but courageous capital raise that funds operations into 2028 and positions the company for NDA submission and potential launch [3]. The decision to pursue the Morphimmune merger and relocate to Bothell, WA shows strategic boldness. However, the leadership team has not yet faced the test of maintaining long-term investment discipline through market adversity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Immunome's primary value driver is Varegacestat, which demonstrated an 84% reduction in disease progression or death in the Phase 3 RINGSIDE trial for desmoid tumors — a rare condition with no currently approved standard-of-care therapy [1]. NDA submission is planned for Q2 2026, with potential FDA approval creating a first-mover commercial opportunity in a market with significant unmet medical need. The company holds $653.5M in cash (runway into 2028), a deep ADC pipeline (IM-1021 Phase 1, IM-3050 IND cleared, three additional ADC INDs planned for 2026), and a leadership team with proven ADC commercialization experience from Seagen (ADCETRIS, PADCEV) [3]. The ASCO 2026 oral presentation of RINGSIDE data provides near-term catalyst visibility [1].</w:t>
      </w:r>
    </w:p>
    <w:p>
      <w:pPr>
        <w:spacing w:after="120"/>
      </w:pPr>
      <w:r>
        <w:rPr>
          <w:rFonts w:ascii="Calibri" w:hAnsi="Calibri"/>
          <w:b w:val="0"/>
          <w:color w:val="3A4A28"/>
          <w:sz w:val="20"/>
        </w:rPr>
        <w:t>The bear case centers on binary clinical/regulatory risk typical of clinical-stage biotech. Immunome burned $190.9M in operating cash in 2025 with only $6.9M in revenue, and even with $653.5M in cash, commercialization of Varegacestat would require significant salesforce buildout for an orphan indication with limited market size [3]. CEO Clay Siegall's 2022 domestic assault arrest (charges dropped) creates reputational and governance risk [5]. The $2.7B market cap on a pre-revenue company prices in substantial Varegacestat success — any NDA delay or FDA concerns could severely compress the valuation. Pipeline diversification is early-stage (Phase 1 and preclinical), leaving the company heavily dependent on a single asset for the next 2-3 years. Competitive risk from nirogacestat (SpringWorks/Bayer) in the gamma secretase inhibitor space could limit market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Varegacestat NDA submission planned Q2 2026, with potential FDA approval creating first commercial revenue stream in desmoid tumors [1]</w:t>
      </w:r>
    </w:p>
    <w:p>
      <w:pPr>
        <w:spacing w:before="40" w:after="40"/>
        <w:ind w:left="283"/>
      </w:pPr>
      <w:r>
        <w:rPr>
          <w:rFonts w:ascii="Calibri" w:hAnsi="Calibri"/>
          <w:b/>
          <w:color w:val="4A6B25"/>
          <w:sz w:val="20"/>
        </w:rPr>
        <w:t xml:space="preserve">2. </w:t>
      </w:r>
      <w:r>
        <w:rPr>
          <w:rFonts w:ascii="Calibri" w:hAnsi="Calibri"/>
          <w:b w:val="0"/>
          <w:color w:val="3A4A28"/>
          <w:sz w:val="20"/>
        </w:rPr>
        <w:t>ASCO 2026 oral presentation of Phase 3 RINGSIDE data providing additional clinical validation and investor visibility [1]</w:t>
      </w:r>
    </w:p>
    <w:p>
      <w:pPr>
        <w:spacing w:before="40" w:after="40"/>
        <w:ind w:left="283"/>
      </w:pPr>
      <w:r>
        <w:rPr>
          <w:rFonts w:ascii="Calibri" w:hAnsi="Calibri"/>
          <w:b/>
          <w:color w:val="4A6B25"/>
          <w:sz w:val="20"/>
        </w:rPr>
        <w:t xml:space="preserve">3. </w:t>
      </w:r>
      <w:r>
        <w:rPr>
          <w:rFonts w:ascii="Calibri" w:hAnsi="Calibri"/>
          <w:b w:val="0"/>
          <w:color w:val="3A4A28"/>
          <w:sz w:val="20"/>
        </w:rPr>
        <w:t>Three new solid tumor ADC IND submissions expected in 2026, broadening the pipeline beyond the single lead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NDA rejection or FDA Complete Response Letter would devastate a $2.7B market cap built entirely on Varegacestat expectations [1]</w:t>
      </w:r>
    </w:p>
    <w:p>
      <w:pPr>
        <w:spacing w:before="40" w:after="40"/>
        <w:ind w:left="283"/>
      </w:pPr>
      <w:r>
        <w:rPr>
          <w:rFonts w:ascii="Calibri" w:hAnsi="Calibri"/>
          <w:b/>
          <w:color w:val="4A6B25"/>
          <w:sz w:val="20"/>
        </w:rPr>
        <w:t xml:space="preserve">2. </w:t>
      </w:r>
      <w:r>
        <w:rPr>
          <w:rFonts w:ascii="Calibri" w:hAnsi="Calibri"/>
          <w:b w:val="0"/>
          <w:color w:val="3A4A28"/>
          <w:sz w:val="20"/>
        </w:rPr>
        <w:t>Pre-revenue cash burn of $190.9M annually with commercialization costs not yet factored in; orphan disease market size may limit peak sales [3]</w:t>
      </w:r>
    </w:p>
    <w:p>
      <w:pPr>
        <w:spacing w:before="40" w:after="40"/>
        <w:ind w:left="283"/>
      </w:pPr>
      <w:r>
        <w:rPr>
          <w:rFonts w:ascii="Calibri" w:hAnsi="Calibri"/>
          <w:b/>
          <w:color w:val="4A6B25"/>
          <w:sz w:val="20"/>
        </w:rPr>
        <w:t xml:space="preserve">3. </w:t>
      </w:r>
      <w:r>
        <w:rPr>
          <w:rFonts w:ascii="Calibri" w:hAnsi="Calibri"/>
          <w:b w:val="0"/>
          <w:color w:val="3A4A28"/>
          <w:sz w:val="20"/>
        </w:rPr>
        <w:t>CEO governance risk — Clay Siegall's forced resignation from Seagen following domestic assault arrest raises leadership credibility concerns despite charges being dropped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Immunome operates in clinical-stage drug development — a domain requiring physical wet-lab research, FDA-regulated clinical trials, and patient-facing therapeutic delivery that AI cannot substitute [1]. The company's value is embedded in its proprietary molecules (Varegacestat, ADC portfolio) and clinical trial data, which are physical-world assets immune to AI disruption. Drug development timelines, regulatory requirements, and manufacturing complexity create structural moats against AI substitution. AI may modestly accelerate early-stage drug discovery but cannot replace the clinical development, manufacturing, and commercialization that define Immunome's business. AI Opportunity (0/1): No evidence of AI-generated revenue or AI-powered products; the company uses conventional drug development methods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Immunome Investor Relations — Phase 3 RINGSIDE Positive Topline Results and ASCO 2026 Oral Presentation Announcement, December 2025 / April 2026</w:t>
      </w:r>
    </w:p>
    <w:p>
      <w:pPr>
        <w:spacing w:before="20" w:after="20"/>
        <w:ind w:left="170"/>
      </w:pPr>
      <w:r>
        <w:rPr>
          <w:rFonts w:ascii="Calibri" w:hAnsi="Calibri"/>
          <w:b/>
          <w:color w:val="4A6B25"/>
          <w:sz w:val="15"/>
        </w:rPr>
        <w:t xml:space="preserve">2. </w:t>
      </w:r>
      <w:r>
        <w:rPr>
          <w:rFonts w:ascii="Calibri" w:hAnsi="Calibri"/>
          <w:b w:val="0"/>
          <w:color w:val="3A4A28"/>
          <w:sz w:val="17"/>
        </w:rPr>
        <w:t>Immunome Corporate Website — About, Leadership, and Pipeline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Immunome Full Year 2025 Financial Results — $212.4M net loss, $653.5M cash, $460.5M equity raise,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IMNM, retrieved April 2026</w:t>
      </w:r>
    </w:p>
    <w:p>
      <w:pPr>
        <w:spacing w:before="20" w:after="20"/>
        <w:ind w:left="170"/>
      </w:pPr>
      <w:r>
        <w:rPr>
          <w:rFonts w:ascii="Calibri" w:hAnsi="Calibri"/>
          <w:b/>
          <w:color w:val="4A6B25"/>
          <w:sz w:val="15"/>
        </w:rPr>
        <w:t xml:space="preserve">5. </w:t>
      </w:r>
      <w:r>
        <w:rPr>
          <w:rFonts w:ascii="Calibri" w:hAnsi="Calibri"/>
          <w:b w:val="0"/>
          <w:color w:val="3A4A28"/>
          <w:sz w:val="17"/>
        </w:rPr>
        <w:t>Fierce Biotech / BioPharma Dive — Clay Siegall background, Seagen resignation, and Morphimmune leadership, 2022-2023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