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IMRX</w:t>
      </w:r>
      <w:r>
        <w:rPr>
          <w:rFonts w:ascii="Calibri" w:hAnsi="Calibri"/>
          <w:b/>
          <w:color w:val="1A2010"/>
          <w:sz w:val="40"/>
        </w:rPr>
        <w:t xml:space="preserve">  Immuneering Corporation</w:t>
      </w:r>
    </w:p>
    <w:p>
      <w:pPr>
        <w:spacing w:after="120"/>
      </w:pPr>
      <w:r>
        <w:rPr>
          <w:rFonts w:ascii="Calibri" w:hAnsi="Calibri"/>
          <w:b/>
          <w:color w:val="6E8450"/>
          <w:sz w:val="18"/>
        </w:rPr>
        <w:t>GROWTH SLEEVE · 2026-04-21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Immuneering is a late-stage oncology company developing Deep Cyclic Inhibitors of the MAPK pathway for broad cancer populations. Its lead candidate atebimetinib (IMM-1-104) is a dual-MEK inhibitor entering Phase 3 for pancreatic cancer and under evaluation in combination trials with Regeneron's Libtayo and Eli Lilly's olomorasib for non-small cell lung cancer. Founded in 2008 and headquartered in Cambridge, Massachusetts.</w:t>
      </w:r>
    </w:p>
    <w:p>
      <w:r>
        <w:rPr>
          <w:rFonts w:ascii="Calibri" w:hAnsi="Calibri"/>
          <w:b/>
          <w:color w:val="6E8450"/>
          <w:sz w:val="18"/>
        </w:rPr>
        <w:t>53 Employees · https://immuneering.com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Immuneering successfully transformed from a bioinformatics services company into a clinical-stage oncology developer, with its lead candidate atebimetinib generating exceptional Phase 2a data — 64% overall survival at 12 months, 39% ORR, 81% DCR, and 8.5-month median PFS in pancreatic cancer (N=34) [1]. This is a meaningful transformation from services to proprietary pipeline. AI Deployment (2/2): The company's proprietary Disease Cancelling Technology uses computational biology and bioinformatics to identify drug candidates that halt or reverse disease signals across multiple genes — a fundamentally AI/computational approach to drug discovery [2]. CEO Zeskind envisions scaling to 90 clinical programs within five years using this platform [2]. Market Share (1/2): Atebimetinib is potentially first-in-class as a dual-MEK inhibitor with a differentiated tolerability profile in MAPK-driven cancers, positioning it uniquely against single-pathway inhibitors [1]. Pipeline (2/2): Phase 3 MAPKeeper 301 trial for pancreatic cancer dosing first patient mid-2026 with FDA/EMA alignment secured; combination trial with Regeneron's Libtayo for NSCLC in 2H 2026; planned Phase 2a with Eli Lilly's olomorasib for KRAS G12C NSCLC [1]. Composition of matter patent granted through 2042 with extensions to 2044 [1]. R&amp;D Intensity (0/1): R&amp;D spending of $42M on zero revenue is inherent to clinical-stage biotech and not differentiating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Immuneering's mission to 'develop medicines for broad populations of cancer patients' is specific and thoughtful — the emphasis on 'broad populations' rather than niche indications reflects genuine intentionality about patient access [2]. CEO Ben Zeskind's 18-year tenure as co-founder chasing the goal of 'turning cutting-edge science into better lives for cancer patients' validates the mission through sustained personal commitment [2]. The pivot from bioinformatics services to proprietary therapeutics was mission-driven — Zeskind realized the company needed to develop its own drugs to directly impact patient lives [2]. Community Impact (1/2): As a 53-person clinical-stage company, direct community impact is limited to potential patient benefit from its cancer therapies. The partnerships with Regeneron and Eli Lilly extend potential reach but no established charitable programs are evident [1]. Employee Retention (1/2): Founder-CEO tenure of 18 years is exceptional for biotech. Key scientific leadership (CSO since 2019, CMO since 2025) provides reasonable stability for a small company [2]. No Glassdoor data available for a 53-person company. Insider Buying (0/2): No meaningful insider buying data available. The September 2025 $25M private placement diluted existing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Immuneering is a pre-revenue clinical-stage biotech with zero revenue and a $56M annual net loss [1]. The only financial strength is balance sheet positioning — D/E of 1.75% with $172.8M cash and $3.8M debt, providing a cash runway extending into 2029 [1][4]. ROE is deeply negative at -43.1%, profit margin is zero, and forward P/E is negative at -4.1x reflecting expected continued losses [4]. There are no revenue growth, PEG, or dividend metrics to evaluate. The company's value proposition is entirely driven by clinical trial outcomes, not financial metrics. Stock price of $5.53 with 64.7M shares outstanding yields a $358M market cap — modest for a company with a Phase 3-ready pancreatic cancer asset [4]. Liquidity floor cleared at $5.4M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Immuneering under founder-CEO Ben Zeskind demonstrates genuine infinite game characteristics — an 18-year commitment to a mission-driven company, a strategic pivot from services to therapeutics in service of patient impact, and partnerships with pharma giants to maximize reach. The company plays to advance cancer treatment, not to win this quarter. However, the existential binary of clinical-stage biotech (trial success or failure) limits the applicability of infinite game analysis.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Zeskind's 18-year tenure building Immuneering from a bioinformatics startup to a Phase 3 oncology company demonstrates a genuine Just Cause — developing medicines for broad cancer populations [2]. The pivot from profitable services to risky proprietary drug development was driven by the realization that services alone could not directly help patients. This is a cause validated by sustained sacrifice (years of losses) rather than corporate platitude. However, the company is still proving this through execution.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 53-person company with founder leadership and key scientific team stability (CSO since 2019) suggests a mission-driven culture where people join to advance the science [2]. The ability to secure partnerships with Regeneron and Eli Lilly validates external trust in the team's capabilities [1]. However, limited public data on internal culture and the inherent pressure of a cash-burning biotech make definitive assessment difficult.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Immuneering's partnership approach — clinical supply agreements with Regeneron and Eli Lilly to combine atebimetinib with their drugs — demonstrates a collaborative competitive mindset [1]. Rather than viewing pharma giants as threats, Immuneering leverages their strengths to advance its own mission. CEO Zeskind frames the competitive landscape as an opportunity to improve cancer treatment broadly rather than a zero-sum market share battle [2].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a bioinformatics services company to a proprietary drug developer represents a genuine strategic pivot — Immuneering abandoned a profitable (if limited) services model to pursue the higher-risk, higher-impact path of developing its own cancer therapies [2]. This required raising capital, building clinical capabilities, and accepting years of losses. However, within oncology drug development, the strategy has been linear rather than requiring further dramatic pivots.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Zeskind's decision to pivot from services to proprietary development was courageous — sacrificing near-term revenue for long-term patient impact. However, the company's small scale and pre-revenue status mean this courage is largely untested at scale. Clinical-stage biotech founders routinely accept binary risk as part of the business model rather than as a courageous choice against easier alternatives. No evidence of decisions that specifically sacrificed near-term performance beyond the inherent structure of the business.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Immuneering offers asymmetric upside as a Phase 3-ready oncology company with exceptional clinical data in pancreatic cancer — 64% overall survival at 12 months, 39% ORR, and 8.5-month median PFS in the Phase 2a trial (N=34) [1]. At a $358M market cap, the stock trades at a significant discount to the potential commercial value of a first-in-class dual-MEK inhibitor with composition of matter patent protection through 2042-2044 [1]. The cash position of $217M with runway into 2029 eliminates near-term dilution risk and funds the pivotal Phase 3 MAPKeeper 301 trial (dosing mid-2026), the Regeneron Libtayo combination trial in NSCLC, and the Eli Lilly olomorasib combination study [1]. CEO Zeskind's vision of 90 clinical programs over 5 years using the Disease Cancelling Technology platform suggests substantial pipeline optionality beyond the lead asset [2].</w:t>
      </w:r>
    </w:p>
    <w:p>
      <w:pPr>
        <w:spacing w:after="120"/>
      </w:pPr>
      <w:r>
        <w:rPr>
          <w:rFonts w:ascii="Calibri" w:hAnsi="Calibri"/>
          <w:b w:val="0"/>
          <w:color w:val="3A4A28"/>
          <w:sz w:val="20"/>
        </w:rPr>
        <w:t>The bear case is the standard clinical-stage binary risk. The Phase 2a data (N=34) is encouraging but small — Phase 3 trials frequently fail to replicate early results, and pancreatic cancer has destroyed numerous promising drug programs. The $56M annual burn rate means trial failure would likely result in near-total loss of equity value despite the cash runway [1]. The September 2025 $25M private placement at dilutive terms signals ongoing capital market dependence [3]. With 53 employees, Immuneering lacks the organizational depth to manage multiple late-stage programs simultaneously, creating execution risk as it attempts to scale from one Phase 3 to multiple combination trials. The stock's $5.53 price and sub-$400M market cap reflect the market's skepticism about clinical-stage biotechs in the current funding environment. Forward EPS of -$1.35 means continued losses for at least 3-4 years even in the bull case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MAPKeeper 301 trial first patient dosing in mid-2026, with FDA/EMA alignment secured for pivotal pancreatic cancer study [1]</w:t>
      </w:r>
    </w:p>
    <w:p>
      <w:pPr>
        <w:spacing w:before="40" w:after="40"/>
        <w:ind w:left="283"/>
      </w:pPr>
      <w:r>
        <w:rPr>
          <w:rFonts w:ascii="Calibri" w:hAnsi="Calibri"/>
          <w:b/>
          <w:color w:val="4A6B25"/>
          <w:sz w:val="20"/>
        </w:rPr>
        <w:t xml:space="preserve">2. </w:t>
      </w:r>
      <w:r>
        <w:rPr>
          <w:rFonts w:ascii="Calibri" w:hAnsi="Calibri"/>
          <w:b w:val="0"/>
          <w:color w:val="3A4A28"/>
          <w:sz w:val="20"/>
        </w:rPr>
        <w:t>Regeneron Libtayo combination trial initiation in 2H 2026 for RAS-mutant first-line NSCLC, opening a much larger market than pancreatic cancer alone [1]</w:t>
      </w:r>
    </w:p>
    <w:p>
      <w:pPr>
        <w:spacing w:before="40" w:after="40"/>
        <w:ind w:left="283"/>
      </w:pPr>
      <w:r>
        <w:rPr>
          <w:rFonts w:ascii="Calibri" w:hAnsi="Calibri"/>
          <w:b/>
          <w:color w:val="4A6B25"/>
          <w:sz w:val="20"/>
        </w:rPr>
        <w:t xml:space="preserve">3. </w:t>
      </w:r>
      <w:r>
        <w:rPr>
          <w:rFonts w:ascii="Calibri" w:hAnsi="Calibri"/>
          <w:b w:val="0"/>
          <w:color w:val="3A4A28"/>
          <w:sz w:val="20"/>
        </w:rPr>
        <w:t>Eli Lilly olomorasib combination Phase 2a trial expanding the KRAS G12C NSCLC indication and validating the combination strategy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trial failure — pancreatic cancer is notoriously difficult, and small Phase 2a data (N=34) may not replicate in a larger pivotal study, representing existential risk [1]</w:t>
      </w:r>
    </w:p>
    <w:p>
      <w:pPr>
        <w:spacing w:before="40" w:after="40"/>
        <w:ind w:left="283"/>
      </w:pPr>
      <w:r>
        <w:rPr>
          <w:rFonts w:ascii="Calibri" w:hAnsi="Calibri"/>
          <w:b/>
          <w:color w:val="4A6B25"/>
          <w:sz w:val="20"/>
        </w:rPr>
        <w:t xml:space="preserve">2. </w:t>
      </w:r>
      <w:r>
        <w:rPr>
          <w:rFonts w:ascii="Calibri" w:hAnsi="Calibri"/>
          <w:b w:val="0"/>
          <w:color w:val="3A4A28"/>
          <w:sz w:val="20"/>
        </w:rPr>
        <w:t>Cash burn and dilution risk — $56M annual loss rate could accelerate as multiple trials run simultaneously, potentially requiring additional capital raises before 2029 [1][3]</w:t>
      </w:r>
    </w:p>
    <w:p>
      <w:pPr>
        <w:spacing w:before="40" w:after="40"/>
        <w:ind w:left="283"/>
      </w:pPr>
      <w:r>
        <w:rPr>
          <w:rFonts w:ascii="Calibri" w:hAnsi="Calibri"/>
          <w:b/>
          <w:color w:val="4A6B25"/>
          <w:sz w:val="20"/>
        </w:rPr>
        <w:t xml:space="preserve">3. </w:t>
      </w:r>
      <w:r>
        <w:rPr>
          <w:rFonts w:ascii="Calibri" w:hAnsi="Calibri"/>
          <w:b w:val="0"/>
          <w:color w:val="3A4A28"/>
          <w:sz w:val="20"/>
        </w:rPr>
        <w:t>Competitive landscape acceleration — larger pharma companies with AI-driven drug discovery platforms could develop competing MAPK pathway inhibitors faster, eroding Immuneering's first-mover advantage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is a heavily regulated, physical-world process — clinical trials, FDA review, manufacturing, and physician prescribing cannot be replaced by AI [1]. Immuneering's proprietary Disease Cancelling Technology platform is itself computationally driven, meaning AI enhances rather than threatens its competitive position [2]. However, AI-powered drug discovery from larger competitors (Pfizer reportedly cut discovery time from years to 30 days using AI) could accelerate competing programs and compress Immuneering's first-mover advantage in MAPK inhibition. The company's patent protection through 2042-2044 provides legal moat regardless of AI advances in competing drug design. As a small-cap biotech, Immuneering faces existential risk from trial failure rather than AI disruption. AI Opportunity (1/1): Immuneering is fundamentally an AI-native biotech — its Disease Cancelling Technology platform uses computational biology to identify drug candidates, and CEO Zeskind's vision of 90 clinical programs in 5 years is predicated on AI-driven discovery scaling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Immuneering Q4 and Full Year 2025 Financial Results — $217M cash, $56M net loss, 64% OS at 12 months in Phase 2a, February 2026</w:t>
      </w:r>
    </w:p>
    <w:p>
      <w:pPr>
        <w:spacing w:before="20" w:after="20"/>
        <w:ind w:left="170"/>
      </w:pPr>
      <w:r>
        <w:rPr>
          <w:rFonts w:ascii="Calibri" w:hAnsi="Calibri"/>
          <w:b/>
          <w:color w:val="4A6B25"/>
          <w:sz w:val="15"/>
        </w:rPr>
        <w:t xml:space="preserve">2. </w:t>
      </w:r>
      <w:r>
        <w:rPr>
          <w:rFonts w:ascii="Calibri" w:hAnsi="Calibri"/>
          <w:b w:val="0"/>
          <w:color w:val="3A4A28"/>
          <w:sz w:val="17"/>
        </w:rPr>
        <w:t>BioSpace / Healthcare Brew — CEO Ben Zeskind interview on Disease Cancelling Technology, 90-program vision, and strategic pivot from services, February 2026</w:t>
      </w:r>
    </w:p>
    <w:p>
      <w:pPr>
        <w:spacing w:before="20" w:after="20"/>
        <w:ind w:left="170"/>
      </w:pPr>
      <w:r>
        <w:rPr>
          <w:rFonts w:ascii="Calibri" w:hAnsi="Calibri"/>
          <w:b/>
          <w:color w:val="4A6B25"/>
          <w:sz w:val="15"/>
        </w:rPr>
        <w:t xml:space="preserve">3. </w:t>
      </w:r>
      <w:r>
        <w:rPr>
          <w:rFonts w:ascii="Calibri" w:hAnsi="Calibri"/>
          <w:b w:val="0"/>
          <w:color w:val="3A4A28"/>
          <w:sz w:val="17"/>
        </w:rPr>
        <w:t>Immuneering Corporation — $25M private placement closing announcement, September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IMRX (Immuneering), retrieved April 21,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